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Default Extension="wdp" ContentType="image/vnd.ms-photo"/>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511" w:rsidRPr="00220F89" w:rsidRDefault="00370D51" w:rsidP="00320511">
      <w:pPr>
        <w:pStyle w:val="CoverTitle"/>
      </w:pPr>
      <w:bookmarkStart w:id="0" w:name="_GoBack"/>
      <w:bookmarkEnd w:id="0"/>
      <w:r>
        <w:rPr>
          <w:noProof/>
        </w:rPr>
        <w:pict>
          <v:rect id="Rectangle 1" o:spid="_x0000_s1026" style="position:absolute;margin-left:28.5pt;margin-top:25.5pt;width:560.25pt;height:756pt;z-index:-251657216;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" fillcolor="#655b58 [3205]" stroked="f" strokeweight="1pt">
            <w10:wrap anchorx="page" anchory="page"/>
          </v:rect>
        </w:pict>
      </w:r>
      <w:r w:rsidR="00220F89" w:rsidRPr="00220F89">
        <w:t>Expanding Energy Waste Reduction Opportunities in Michigan’s Upper Peninsula</w:t>
      </w:r>
    </w:p>
    <w:p w:rsidR="006E72AC" w:rsidRDefault="00F0679F" w:rsidP="00320511">
      <w:pPr>
        <w:pStyle w:val="CoverDate"/>
        <w:rPr>
          <w:rStyle w:val="CoverSecondaryColor-White"/>
        </w:rPr>
      </w:pPr>
      <w:r>
        <w:rPr>
          <w:rStyle w:val="CoverSecondaryColor-White"/>
        </w:rPr>
        <w:t>December</w:t>
      </w:r>
      <w:r w:rsidR="00220F89">
        <w:rPr>
          <w:rStyle w:val="CoverSecondaryColor-White"/>
        </w:rPr>
        <w:t xml:space="preserve"> 2018</w:t>
      </w:r>
    </w:p>
    <w:p w:rsidR="00320511" w:rsidRDefault="00320511" w:rsidP="00320511">
      <w:pPr>
        <w:pStyle w:val="CoverDate"/>
        <w:rPr>
          <w:rStyle w:val="CoverSecondaryColor-White"/>
          <w:highlight w:val="yellow"/>
        </w:rPr>
        <w:sectPr w:rsidR="00320511" w:rsidSect="005107ED">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cols w:space="720"/>
          <w:docGrid w:linePitch="360"/>
        </w:sectPr>
      </w:pPr>
      <w:r>
        <w:drawing>
          <wp:anchor distT="0" distB="0" distL="114300" distR="114300" simplePos="0" relativeHeight="251663360" behindDoc="0" locked="1" layoutInCell="1" allowOverlap="1">
            <wp:simplePos x="0" y="0"/>
            <wp:positionH relativeFrom="page">
              <wp:posOffset>6199505</wp:posOffset>
            </wp:positionH>
            <wp:positionV relativeFrom="page">
              <wp:posOffset>8485505</wp:posOffset>
            </wp:positionV>
            <wp:extent cx="649224" cy="649224"/>
            <wp:effectExtent l="0" t="0" r="11430" b="11430"/>
            <wp:wrapNone/>
            <wp:docPr id="3" name="Picture 3" descr="Public Sector Consulta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20Brand/Logos/02%20Alternate%20Logo/CMYK/Yellow/PSC_Alternate_CMYK_Yellow.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9224" cy="649224"/>
                    </a:xfrm>
                    <a:prstGeom prst="rect">
                      <a:avLst/>
                    </a:prstGeom>
                    <a:noFill/>
                    <a:ln>
                      <a:noFill/>
                    </a:ln>
                  </pic:spPr>
                </pic:pic>
              </a:graphicData>
            </a:graphic>
          </wp:anchor>
        </w:drawing>
      </w:r>
    </w:p>
    <w:p w:rsidR="00320511" w:rsidRDefault="00320511" w:rsidP="00320511">
      <w:pPr>
        <w:pStyle w:val="BodyText"/>
        <w:spacing w:after="720"/>
      </w:pPr>
      <w:r>
        <w:rPr>
          <w:noProof/>
        </w:rPr>
        <w:lastRenderedPageBreak/>
        <w:drawing>
          <wp:inline distT="0" distB="0" distL="0" distR="0">
            <wp:extent cx="2267712" cy="740664"/>
            <wp:effectExtent l="0" t="0" r="0" b="0"/>
            <wp:docPr id="7" name="Picture 7" descr="Public Sector Consulta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media/Production/Brand Refresh/01_PSC Brand/Logos/01 Primary Logo/RGB/2c Yellow_DarkGray/PSC_Logo_RGB_2cYD.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67712" cy="740664"/>
                    </a:xfrm>
                    <a:prstGeom prst="rect">
                      <a:avLst/>
                    </a:prstGeom>
                    <a:noFill/>
                    <a:ln>
                      <a:noFill/>
                    </a:ln>
                  </pic:spPr>
                </pic:pic>
              </a:graphicData>
            </a:graphic>
          </wp:inline>
        </w:drawing>
      </w:r>
    </w:p>
    <w:p w:rsidR="00320511" w:rsidRDefault="00320511" w:rsidP="00320511">
      <w:pPr>
        <w:pStyle w:val="PreparedforSubmittedby"/>
        <w:ind w:left="1440"/>
      </w:pPr>
      <w:r>
        <w:t>Prepared by</w:t>
      </w:r>
    </w:p>
    <w:p w:rsidR="00320511" w:rsidRDefault="00320511" w:rsidP="00320511">
      <w:pPr>
        <w:pStyle w:val="CreditText"/>
        <w:ind w:left="1440"/>
      </w:pPr>
      <w:r>
        <w:t>Public Sector Consultants</w:t>
      </w:r>
    </w:p>
    <w:p w:rsidR="00320511" w:rsidRDefault="00320511" w:rsidP="00320511">
      <w:pPr>
        <w:pStyle w:val="CreditText"/>
        <w:ind w:left="1440"/>
      </w:pPr>
      <w:r>
        <w:t>Lansing, Michigan</w:t>
      </w:r>
    </w:p>
    <w:p w:rsidR="00320511" w:rsidRDefault="00320511" w:rsidP="00320511">
      <w:pPr>
        <w:pStyle w:val="CreditText"/>
        <w:ind w:left="1440"/>
      </w:pPr>
      <w:r w:rsidRPr="00320511">
        <w:t>www.publicsectorconsultants.com</w:t>
      </w:r>
    </w:p>
    <w:p w:rsidR="00320511" w:rsidRDefault="00320511" w:rsidP="00320511">
      <w:pPr>
        <w:pStyle w:val="PreparedforSubmittedby"/>
        <w:ind w:left="1440"/>
      </w:pPr>
      <w:r>
        <w:t>Prepared for</w:t>
      </w:r>
    </w:p>
    <w:p w:rsidR="00320511" w:rsidRPr="00220F89" w:rsidRDefault="006F7AA1" w:rsidP="00320511">
      <w:pPr>
        <w:pStyle w:val="CreditText"/>
        <w:ind w:left="1440"/>
      </w:pPr>
      <w:r>
        <w:t>Upper Peninsula Commission on Area Progress</w:t>
      </w:r>
    </w:p>
    <w:p w:rsidR="00320511" w:rsidRDefault="006F7AA1" w:rsidP="00320511">
      <w:pPr>
        <w:pStyle w:val="CreditText"/>
        <w:ind w:left="1440"/>
      </w:pPr>
      <w:r>
        <w:t>Escanaba</w:t>
      </w:r>
      <w:r w:rsidR="00220F89" w:rsidRPr="00220F89">
        <w:t>, Michigan</w:t>
      </w:r>
    </w:p>
    <w:p w:rsidR="00CE6580" w:rsidRDefault="00220F89" w:rsidP="00320511">
      <w:pPr>
        <w:pStyle w:val="CreditText"/>
        <w:ind w:left="1440"/>
        <w:rPr>
          <w:highlight w:val="yellow"/>
        </w:rPr>
      </w:pPr>
      <w:r w:rsidRPr="00220F89">
        <w:t>www.</w:t>
      </w:r>
      <w:r w:rsidR="006F7AA1">
        <w:t>upcap.org</w:t>
      </w:r>
    </w:p>
    <w:p w:rsidR="00CE6580" w:rsidRDefault="00CE6580" w:rsidP="00320511">
      <w:pPr>
        <w:pStyle w:val="CreditText"/>
        <w:ind w:left="1440"/>
        <w:rPr>
          <w:highlight w:val="yellow"/>
        </w:rPr>
        <w:sectPr w:rsidR="00CE6580" w:rsidSect="00320511">
          <w:pgSz w:w="12240" w:h="15840"/>
          <w:pgMar w:top="7200" w:right="1440" w:bottom="1440" w:left="1440" w:header="720" w:footer="720" w:gutter="0"/>
          <w:cols w:space="720"/>
          <w:docGrid w:linePitch="360"/>
        </w:sectPr>
      </w:pPr>
    </w:p>
    <w:p w:rsidR="00320511" w:rsidRDefault="00320511">
      <w:pPr>
        <w:pStyle w:val="TOCHeading"/>
        <w:spacing w:after="0"/>
      </w:pPr>
      <w:bookmarkStart w:id="1" w:name="_Toc514432718"/>
      <w:bookmarkStart w:id="2" w:name="_Toc533742656"/>
      <w:r>
        <w:lastRenderedPageBreak/>
        <w:t>Table of Contents</w:t>
      </w:r>
      <w:bookmarkEnd w:id="1"/>
      <w:bookmarkEnd w:id="2"/>
    </w:p>
    <w:p w:rsidR="00F93D11" w:rsidRDefault="00370D51">
      <w:pPr>
        <w:pStyle w:val="TOC1"/>
        <w:rPr>
          <w:rFonts w:asciiTheme="minorHAnsi" w:eastAsiaTheme="minorEastAsia" w:hAnsiTheme="minorHAnsi"/>
          <w:caps w:val="0"/>
          <w:noProof/>
          <w:sz w:val="22"/>
        </w:rPr>
      </w:pPr>
      <w:r w:rsidRPr="00370D51">
        <w:fldChar w:fldCharType="begin"/>
      </w:r>
      <w:r w:rsidR="007608FA">
        <w:instrText xml:space="preserve"> TOC \o "1-3" \u </w:instrText>
      </w:r>
      <w:r w:rsidRPr="00370D51">
        <w:fldChar w:fldCharType="separate"/>
      </w:r>
      <w:r w:rsidR="00F93D11">
        <w:rPr>
          <w:noProof/>
        </w:rPr>
        <w:t>Table of Contents</w:t>
      </w:r>
      <w:r w:rsidR="00F93D11">
        <w:rPr>
          <w:noProof/>
        </w:rPr>
        <w:tab/>
      </w:r>
      <w:r>
        <w:rPr>
          <w:noProof/>
        </w:rPr>
        <w:fldChar w:fldCharType="begin"/>
      </w:r>
      <w:r w:rsidR="00F93D11">
        <w:rPr>
          <w:noProof/>
        </w:rPr>
        <w:instrText xml:space="preserve"> PAGEREF _Toc533742656 \h </w:instrText>
      </w:r>
      <w:r>
        <w:rPr>
          <w:noProof/>
        </w:rPr>
      </w:r>
      <w:r>
        <w:rPr>
          <w:noProof/>
        </w:rPr>
        <w:fldChar w:fldCharType="separate"/>
      </w:r>
      <w:r w:rsidR="00AC21E1">
        <w:rPr>
          <w:noProof/>
        </w:rPr>
        <w:t>3</w:t>
      </w:r>
      <w:r>
        <w:rPr>
          <w:noProof/>
        </w:rPr>
        <w:fldChar w:fldCharType="end"/>
      </w:r>
    </w:p>
    <w:p w:rsidR="00F93D11" w:rsidRDefault="00F93D11">
      <w:pPr>
        <w:pStyle w:val="TOC1"/>
        <w:rPr>
          <w:rFonts w:asciiTheme="minorHAnsi" w:eastAsiaTheme="minorEastAsia" w:hAnsiTheme="minorHAnsi"/>
          <w:caps w:val="0"/>
          <w:noProof/>
          <w:sz w:val="22"/>
        </w:rPr>
      </w:pPr>
      <w:r>
        <w:rPr>
          <w:noProof/>
        </w:rPr>
        <w:t>Background</w:t>
      </w:r>
      <w:r>
        <w:rPr>
          <w:noProof/>
        </w:rPr>
        <w:tab/>
      </w:r>
      <w:r w:rsidR="00370D51">
        <w:rPr>
          <w:noProof/>
        </w:rPr>
        <w:fldChar w:fldCharType="begin"/>
      </w:r>
      <w:r>
        <w:rPr>
          <w:noProof/>
        </w:rPr>
        <w:instrText xml:space="preserve"> PAGEREF _Toc533742657 \h </w:instrText>
      </w:r>
      <w:r w:rsidR="00370D51">
        <w:rPr>
          <w:noProof/>
        </w:rPr>
      </w:r>
      <w:r w:rsidR="00370D51">
        <w:rPr>
          <w:noProof/>
        </w:rPr>
        <w:fldChar w:fldCharType="separate"/>
      </w:r>
      <w:r w:rsidR="00AC21E1">
        <w:rPr>
          <w:noProof/>
        </w:rPr>
        <w:t>4</w:t>
      </w:r>
      <w:r w:rsidR="00370D51">
        <w:rPr>
          <w:noProof/>
        </w:rPr>
        <w:fldChar w:fldCharType="end"/>
      </w:r>
    </w:p>
    <w:p w:rsidR="00F93D11" w:rsidRDefault="00F93D11">
      <w:pPr>
        <w:pStyle w:val="TOC2"/>
        <w:tabs>
          <w:tab w:val="right" w:leader="dot" w:pos="9350"/>
        </w:tabs>
        <w:rPr>
          <w:rFonts w:asciiTheme="minorHAnsi" w:eastAsiaTheme="minorEastAsia" w:hAnsiTheme="minorHAnsi"/>
          <w:noProof/>
          <w:sz w:val="22"/>
          <w:szCs w:val="22"/>
        </w:rPr>
      </w:pPr>
      <w:r>
        <w:rPr>
          <w:noProof/>
        </w:rPr>
        <w:t>Current EWR in the U.P.</w:t>
      </w:r>
      <w:r>
        <w:rPr>
          <w:noProof/>
        </w:rPr>
        <w:tab/>
      </w:r>
      <w:r w:rsidR="00370D51">
        <w:rPr>
          <w:noProof/>
        </w:rPr>
        <w:fldChar w:fldCharType="begin"/>
      </w:r>
      <w:r>
        <w:rPr>
          <w:noProof/>
        </w:rPr>
        <w:instrText xml:space="preserve"> PAGEREF _Toc533742658 \h </w:instrText>
      </w:r>
      <w:r w:rsidR="00370D51">
        <w:rPr>
          <w:noProof/>
        </w:rPr>
      </w:r>
      <w:r w:rsidR="00370D51">
        <w:rPr>
          <w:noProof/>
        </w:rPr>
        <w:fldChar w:fldCharType="separate"/>
      </w:r>
      <w:r w:rsidR="00AC21E1">
        <w:rPr>
          <w:noProof/>
        </w:rPr>
        <w:t>4</w:t>
      </w:r>
      <w:r w:rsidR="00370D51">
        <w:rPr>
          <w:noProof/>
        </w:rPr>
        <w:fldChar w:fldCharType="end"/>
      </w:r>
    </w:p>
    <w:p w:rsidR="00F93D11" w:rsidRDefault="00F93D11">
      <w:pPr>
        <w:pStyle w:val="TOC1"/>
        <w:rPr>
          <w:rFonts w:asciiTheme="minorHAnsi" w:eastAsiaTheme="minorEastAsia" w:hAnsiTheme="minorHAnsi"/>
          <w:caps w:val="0"/>
          <w:noProof/>
          <w:sz w:val="22"/>
        </w:rPr>
      </w:pPr>
      <w:r>
        <w:rPr>
          <w:noProof/>
        </w:rPr>
        <w:t>Energy Savings Potential</w:t>
      </w:r>
      <w:r>
        <w:rPr>
          <w:noProof/>
        </w:rPr>
        <w:tab/>
      </w:r>
      <w:r w:rsidR="00370D51">
        <w:rPr>
          <w:noProof/>
        </w:rPr>
        <w:fldChar w:fldCharType="begin"/>
      </w:r>
      <w:r>
        <w:rPr>
          <w:noProof/>
        </w:rPr>
        <w:instrText xml:space="preserve"> PAGEREF _Toc533742659 \h </w:instrText>
      </w:r>
      <w:r w:rsidR="00370D51">
        <w:rPr>
          <w:noProof/>
        </w:rPr>
      </w:r>
      <w:r w:rsidR="00370D51">
        <w:rPr>
          <w:noProof/>
        </w:rPr>
        <w:fldChar w:fldCharType="separate"/>
      </w:r>
      <w:r w:rsidR="00AC21E1">
        <w:rPr>
          <w:noProof/>
        </w:rPr>
        <w:t>8</w:t>
      </w:r>
      <w:r w:rsidR="00370D51">
        <w:rPr>
          <w:noProof/>
        </w:rPr>
        <w:fldChar w:fldCharType="end"/>
      </w:r>
    </w:p>
    <w:p w:rsidR="00F93D11" w:rsidRDefault="00F93D11">
      <w:pPr>
        <w:pStyle w:val="TOC1"/>
        <w:rPr>
          <w:rFonts w:asciiTheme="minorHAnsi" w:eastAsiaTheme="minorEastAsia" w:hAnsiTheme="minorHAnsi"/>
          <w:caps w:val="0"/>
          <w:noProof/>
          <w:sz w:val="22"/>
        </w:rPr>
      </w:pPr>
      <w:r>
        <w:rPr>
          <w:noProof/>
        </w:rPr>
        <w:t>Process for Assessing Potential Portfolio/Program improvements</w:t>
      </w:r>
      <w:r>
        <w:rPr>
          <w:noProof/>
        </w:rPr>
        <w:tab/>
      </w:r>
      <w:r w:rsidR="00370D51">
        <w:rPr>
          <w:noProof/>
        </w:rPr>
        <w:fldChar w:fldCharType="begin"/>
      </w:r>
      <w:r>
        <w:rPr>
          <w:noProof/>
        </w:rPr>
        <w:instrText xml:space="preserve"> PAGEREF _Toc533742660 \h </w:instrText>
      </w:r>
      <w:r w:rsidR="00370D51">
        <w:rPr>
          <w:noProof/>
        </w:rPr>
      </w:r>
      <w:r w:rsidR="00370D51">
        <w:rPr>
          <w:noProof/>
        </w:rPr>
        <w:fldChar w:fldCharType="separate"/>
      </w:r>
      <w:r w:rsidR="00AC21E1">
        <w:rPr>
          <w:noProof/>
        </w:rPr>
        <w:t>9</w:t>
      </w:r>
      <w:r w:rsidR="00370D51">
        <w:rPr>
          <w:noProof/>
        </w:rPr>
        <w:fldChar w:fldCharType="end"/>
      </w:r>
    </w:p>
    <w:p w:rsidR="00F93D11" w:rsidRDefault="00F93D11">
      <w:pPr>
        <w:pStyle w:val="TOC2"/>
        <w:tabs>
          <w:tab w:val="right" w:leader="dot" w:pos="9350"/>
        </w:tabs>
        <w:rPr>
          <w:rFonts w:asciiTheme="minorHAnsi" w:eastAsiaTheme="minorEastAsia" w:hAnsiTheme="minorHAnsi"/>
          <w:noProof/>
          <w:sz w:val="22"/>
          <w:szCs w:val="22"/>
        </w:rPr>
      </w:pPr>
      <w:r>
        <w:rPr>
          <w:noProof/>
        </w:rPr>
        <w:t>Best Practices</w:t>
      </w:r>
      <w:r>
        <w:rPr>
          <w:noProof/>
        </w:rPr>
        <w:tab/>
      </w:r>
      <w:r w:rsidR="00370D51">
        <w:rPr>
          <w:noProof/>
        </w:rPr>
        <w:fldChar w:fldCharType="begin"/>
      </w:r>
      <w:r>
        <w:rPr>
          <w:noProof/>
        </w:rPr>
        <w:instrText xml:space="preserve"> PAGEREF _Toc533742661 \h </w:instrText>
      </w:r>
      <w:r w:rsidR="00370D51">
        <w:rPr>
          <w:noProof/>
        </w:rPr>
      </w:r>
      <w:r w:rsidR="00370D51">
        <w:rPr>
          <w:noProof/>
        </w:rPr>
        <w:fldChar w:fldCharType="separate"/>
      </w:r>
      <w:r w:rsidR="00AC21E1">
        <w:rPr>
          <w:noProof/>
        </w:rPr>
        <w:t>9</w:t>
      </w:r>
      <w:r w:rsidR="00370D51">
        <w:rPr>
          <w:noProof/>
        </w:rPr>
        <w:fldChar w:fldCharType="end"/>
      </w:r>
    </w:p>
    <w:p w:rsidR="00F93D11" w:rsidRDefault="00F93D11">
      <w:pPr>
        <w:pStyle w:val="TOC2"/>
        <w:tabs>
          <w:tab w:val="right" w:leader="dot" w:pos="9350"/>
        </w:tabs>
        <w:rPr>
          <w:rFonts w:asciiTheme="minorHAnsi" w:eastAsiaTheme="minorEastAsia" w:hAnsiTheme="minorHAnsi"/>
          <w:noProof/>
          <w:sz w:val="22"/>
          <w:szCs w:val="22"/>
        </w:rPr>
      </w:pPr>
      <w:r>
        <w:rPr>
          <w:noProof/>
        </w:rPr>
        <w:t>Impact on Cost and Savings</w:t>
      </w:r>
      <w:r>
        <w:rPr>
          <w:noProof/>
        </w:rPr>
        <w:tab/>
      </w:r>
      <w:r w:rsidR="00370D51">
        <w:rPr>
          <w:noProof/>
        </w:rPr>
        <w:fldChar w:fldCharType="begin"/>
      </w:r>
      <w:r>
        <w:rPr>
          <w:noProof/>
        </w:rPr>
        <w:instrText xml:space="preserve"> PAGEREF _Toc533742663 \h </w:instrText>
      </w:r>
      <w:r w:rsidR="00370D51">
        <w:rPr>
          <w:noProof/>
        </w:rPr>
      </w:r>
      <w:r w:rsidR="00370D51">
        <w:rPr>
          <w:noProof/>
        </w:rPr>
        <w:fldChar w:fldCharType="separate"/>
      </w:r>
      <w:r w:rsidR="00AC21E1">
        <w:rPr>
          <w:noProof/>
        </w:rPr>
        <w:t>11</w:t>
      </w:r>
      <w:r w:rsidR="00370D51">
        <w:rPr>
          <w:noProof/>
        </w:rPr>
        <w:fldChar w:fldCharType="end"/>
      </w:r>
    </w:p>
    <w:p w:rsidR="00F93D11" w:rsidRDefault="00F93D11">
      <w:pPr>
        <w:pStyle w:val="TOC2"/>
        <w:tabs>
          <w:tab w:val="right" w:leader="dot" w:pos="9350"/>
        </w:tabs>
        <w:rPr>
          <w:rFonts w:asciiTheme="minorHAnsi" w:eastAsiaTheme="minorEastAsia" w:hAnsiTheme="minorHAnsi"/>
          <w:noProof/>
          <w:sz w:val="22"/>
          <w:szCs w:val="22"/>
        </w:rPr>
      </w:pPr>
      <w:r>
        <w:rPr>
          <w:noProof/>
        </w:rPr>
        <w:t>Stakeholder Input</w:t>
      </w:r>
      <w:r>
        <w:rPr>
          <w:noProof/>
        </w:rPr>
        <w:tab/>
      </w:r>
      <w:r w:rsidR="00370D51">
        <w:rPr>
          <w:noProof/>
        </w:rPr>
        <w:fldChar w:fldCharType="begin"/>
      </w:r>
      <w:r>
        <w:rPr>
          <w:noProof/>
        </w:rPr>
        <w:instrText xml:space="preserve"> PAGEREF _Toc533742664 \h </w:instrText>
      </w:r>
      <w:r w:rsidR="00370D51">
        <w:rPr>
          <w:noProof/>
        </w:rPr>
      </w:r>
      <w:r w:rsidR="00370D51">
        <w:rPr>
          <w:noProof/>
        </w:rPr>
        <w:fldChar w:fldCharType="separate"/>
      </w:r>
      <w:r w:rsidR="00AC21E1">
        <w:rPr>
          <w:noProof/>
        </w:rPr>
        <w:t>11</w:t>
      </w:r>
      <w:r w:rsidR="00370D51">
        <w:rPr>
          <w:noProof/>
        </w:rPr>
        <w:fldChar w:fldCharType="end"/>
      </w:r>
    </w:p>
    <w:p w:rsidR="00F93D11" w:rsidRDefault="00F93D11">
      <w:pPr>
        <w:pStyle w:val="TOC1"/>
        <w:rPr>
          <w:rFonts w:asciiTheme="minorHAnsi" w:eastAsiaTheme="minorEastAsia" w:hAnsiTheme="minorHAnsi"/>
          <w:caps w:val="0"/>
          <w:noProof/>
          <w:sz w:val="22"/>
        </w:rPr>
      </w:pPr>
      <w:r>
        <w:rPr>
          <w:noProof/>
        </w:rPr>
        <w:t>Path Forward</w:t>
      </w:r>
      <w:r>
        <w:rPr>
          <w:noProof/>
        </w:rPr>
        <w:tab/>
      </w:r>
      <w:r w:rsidR="00370D51">
        <w:rPr>
          <w:noProof/>
        </w:rPr>
        <w:fldChar w:fldCharType="begin"/>
      </w:r>
      <w:r>
        <w:rPr>
          <w:noProof/>
        </w:rPr>
        <w:instrText xml:space="preserve"> PAGEREF _Toc533742665 \h </w:instrText>
      </w:r>
      <w:r w:rsidR="00370D51">
        <w:rPr>
          <w:noProof/>
        </w:rPr>
      </w:r>
      <w:r w:rsidR="00370D51">
        <w:rPr>
          <w:noProof/>
        </w:rPr>
        <w:fldChar w:fldCharType="separate"/>
      </w:r>
      <w:r w:rsidR="00AC21E1">
        <w:rPr>
          <w:noProof/>
        </w:rPr>
        <w:t>14</w:t>
      </w:r>
      <w:r w:rsidR="00370D51">
        <w:rPr>
          <w:noProof/>
        </w:rPr>
        <w:fldChar w:fldCharType="end"/>
      </w:r>
    </w:p>
    <w:p w:rsidR="00F93D11" w:rsidRDefault="00F93D11">
      <w:pPr>
        <w:pStyle w:val="TOC1"/>
        <w:rPr>
          <w:rFonts w:asciiTheme="minorHAnsi" w:eastAsiaTheme="minorEastAsia" w:hAnsiTheme="minorHAnsi"/>
          <w:caps w:val="0"/>
          <w:noProof/>
          <w:sz w:val="22"/>
        </w:rPr>
      </w:pPr>
      <w:r>
        <w:rPr>
          <w:noProof/>
        </w:rPr>
        <w:t>APPENDIX A: Portfolio-level Strategies</w:t>
      </w:r>
      <w:r>
        <w:rPr>
          <w:noProof/>
        </w:rPr>
        <w:tab/>
      </w:r>
      <w:r w:rsidR="00370D51">
        <w:rPr>
          <w:noProof/>
        </w:rPr>
        <w:fldChar w:fldCharType="begin"/>
      </w:r>
      <w:r>
        <w:rPr>
          <w:noProof/>
        </w:rPr>
        <w:instrText xml:space="preserve"> PAGEREF _Toc533742666 \h </w:instrText>
      </w:r>
      <w:r w:rsidR="00370D51">
        <w:rPr>
          <w:noProof/>
        </w:rPr>
      </w:r>
      <w:r w:rsidR="00370D51">
        <w:rPr>
          <w:noProof/>
        </w:rPr>
        <w:fldChar w:fldCharType="separate"/>
      </w:r>
      <w:r w:rsidR="00AC21E1">
        <w:rPr>
          <w:noProof/>
        </w:rPr>
        <w:t>17</w:t>
      </w:r>
      <w:r w:rsidR="00370D51">
        <w:rPr>
          <w:noProof/>
        </w:rPr>
        <w:fldChar w:fldCharType="end"/>
      </w:r>
    </w:p>
    <w:p w:rsidR="00F93D11" w:rsidRDefault="00F93D11">
      <w:pPr>
        <w:pStyle w:val="TOC2"/>
        <w:tabs>
          <w:tab w:val="right" w:leader="dot" w:pos="9350"/>
        </w:tabs>
        <w:rPr>
          <w:rFonts w:asciiTheme="minorHAnsi" w:eastAsiaTheme="minorEastAsia" w:hAnsiTheme="minorHAnsi"/>
          <w:noProof/>
          <w:sz w:val="22"/>
          <w:szCs w:val="22"/>
        </w:rPr>
      </w:pPr>
      <w:r>
        <w:rPr>
          <w:noProof/>
        </w:rPr>
        <w:t>Uniform Program Design and Requirements</w:t>
      </w:r>
      <w:r>
        <w:rPr>
          <w:noProof/>
        </w:rPr>
        <w:tab/>
      </w:r>
      <w:r w:rsidR="00370D51">
        <w:rPr>
          <w:noProof/>
        </w:rPr>
        <w:fldChar w:fldCharType="begin"/>
      </w:r>
      <w:r>
        <w:rPr>
          <w:noProof/>
        </w:rPr>
        <w:instrText xml:space="preserve"> PAGEREF _Toc533742667 \h </w:instrText>
      </w:r>
      <w:r w:rsidR="00370D51">
        <w:rPr>
          <w:noProof/>
        </w:rPr>
      </w:r>
      <w:r w:rsidR="00370D51">
        <w:rPr>
          <w:noProof/>
        </w:rPr>
        <w:fldChar w:fldCharType="separate"/>
      </w:r>
      <w:r w:rsidR="00AC21E1">
        <w:rPr>
          <w:noProof/>
        </w:rPr>
        <w:t>17</w:t>
      </w:r>
      <w:r w:rsidR="00370D51">
        <w:rPr>
          <w:noProof/>
        </w:rPr>
        <w:fldChar w:fldCharType="end"/>
      </w:r>
    </w:p>
    <w:p w:rsidR="00F93D11" w:rsidRDefault="00F93D11">
      <w:pPr>
        <w:pStyle w:val="TOC2"/>
        <w:tabs>
          <w:tab w:val="right" w:leader="dot" w:pos="9350"/>
        </w:tabs>
        <w:rPr>
          <w:rFonts w:asciiTheme="minorHAnsi" w:eastAsiaTheme="minorEastAsia" w:hAnsiTheme="minorHAnsi"/>
          <w:noProof/>
          <w:sz w:val="22"/>
          <w:szCs w:val="22"/>
        </w:rPr>
      </w:pPr>
      <w:r>
        <w:rPr>
          <w:noProof/>
        </w:rPr>
        <w:t>U.P.-focused Trade Ally Network</w:t>
      </w:r>
      <w:r>
        <w:rPr>
          <w:noProof/>
        </w:rPr>
        <w:tab/>
      </w:r>
      <w:r w:rsidR="00370D51">
        <w:rPr>
          <w:noProof/>
        </w:rPr>
        <w:fldChar w:fldCharType="begin"/>
      </w:r>
      <w:r>
        <w:rPr>
          <w:noProof/>
        </w:rPr>
        <w:instrText xml:space="preserve"> PAGEREF _Toc533742668 \h </w:instrText>
      </w:r>
      <w:r w:rsidR="00370D51">
        <w:rPr>
          <w:noProof/>
        </w:rPr>
      </w:r>
      <w:r w:rsidR="00370D51">
        <w:rPr>
          <w:noProof/>
        </w:rPr>
        <w:fldChar w:fldCharType="separate"/>
      </w:r>
      <w:r w:rsidR="00AC21E1">
        <w:rPr>
          <w:noProof/>
        </w:rPr>
        <w:t>17</w:t>
      </w:r>
      <w:r w:rsidR="00370D51">
        <w:rPr>
          <w:noProof/>
        </w:rPr>
        <w:fldChar w:fldCharType="end"/>
      </w:r>
    </w:p>
    <w:p w:rsidR="00F93D11" w:rsidRDefault="00F93D11">
      <w:pPr>
        <w:pStyle w:val="TOC2"/>
        <w:tabs>
          <w:tab w:val="right" w:leader="dot" w:pos="9350"/>
        </w:tabs>
        <w:rPr>
          <w:rFonts w:asciiTheme="minorHAnsi" w:eastAsiaTheme="minorEastAsia" w:hAnsiTheme="minorHAnsi"/>
          <w:noProof/>
          <w:sz w:val="22"/>
          <w:szCs w:val="22"/>
        </w:rPr>
      </w:pPr>
      <w:r>
        <w:rPr>
          <w:noProof/>
        </w:rPr>
        <w:t>Smart Purchasing (Bulk Buying and/or Competitive Bidding)</w:t>
      </w:r>
      <w:r>
        <w:rPr>
          <w:noProof/>
        </w:rPr>
        <w:tab/>
      </w:r>
      <w:r w:rsidR="00370D51">
        <w:rPr>
          <w:noProof/>
        </w:rPr>
        <w:fldChar w:fldCharType="begin"/>
      </w:r>
      <w:r>
        <w:rPr>
          <w:noProof/>
        </w:rPr>
        <w:instrText xml:space="preserve"> PAGEREF _Toc533742669 \h </w:instrText>
      </w:r>
      <w:r w:rsidR="00370D51">
        <w:rPr>
          <w:noProof/>
        </w:rPr>
      </w:r>
      <w:r w:rsidR="00370D51">
        <w:rPr>
          <w:noProof/>
        </w:rPr>
        <w:fldChar w:fldCharType="separate"/>
      </w:r>
      <w:r w:rsidR="00AC21E1">
        <w:rPr>
          <w:noProof/>
        </w:rPr>
        <w:t>18</w:t>
      </w:r>
      <w:r w:rsidR="00370D51">
        <w:rPr>
          <w:noProof/>
        </w:rPr>
        <w:fldChar w:fldCharType="end"/>
      </w:r>
    </w:p>
    <w:p w:rsidR="00F93D11" w:rsidRDefault="00F93D11">
      <w:pPr>
        <w:pStyle w:val="TOC2"/>
        <w:tabs>
          <w:tab w:val="right" w:leader="dot" w:pos="9350"/>
        </w:tabs>
        <w:rPr>
          <w:rFonts w:asciiTheme="minorHAnsi" w:eastAsiaTheme="minorEastAsia" w:hAnsiTheme="minorHAnsi"/>
          <w:noProof/>
          <w:sz w:val="22"/>
          <w:szCs w:val="22"/>
        </w:rPr>
      </w:pPr>
      <w:r>
        <w:rPr>
          <w:noProof/>
        </w:rPr>
        <w:t>Centralized Planning, Management, and Evaluation</w:t>
      </w:r>
      <w:r>
        <w:rPr>
          <w:noProof/>
        </w:rPr>
        <w:tab/>
      </w:r>
      <w:r w:rsidR="00370D51">
        <w:rPr>
          <w:noProof/>
        </w:rPr>
        <w:fldChar w:fldCharType="begin"/>
      </w:r>
      <w:r>
        <w:rPr>
          <w:noProof/>
        </w:rPr>
        <w:instrText xml:space="preserve"> PAGEREF _Toc533742670 \h </w:instrText>
      </w:r>
      <w:r w:rsidR="00370D51">
        <w:rPr>
          <w:noProof/>
        </w:rPr>
      </w:r>
      <w:r w:rsidR="00370D51">
        <w:rPr>
          <w:noProof/>
        </w:rPr>
        <w:fldChar w:fldCharType="separate"/>
      </w:r>
      <w:r w:rsidR="00AC21E1">
        <w:rPr>
          <w:noProof/>
        </w:rPr>
        <w:t>19</w:t>
      </w:r>
      <w:r w:rsidR="00370D51">
        <w:rPr>
          <w:noProof/>
        </w:rPr>
        <w:fldChar w:fldCharType="end"/>
      </w:r>
    </w:p>
    <w:p w:rsidR="00F93D11" w:rsidRDefault="00F93D11">
      <w:pPr>
        <w:pStyle w:val="TOC2"/>
        <w:tabs>
          <w:tab w:val="right" w:leader="dot" w:pos="9350"/>
        </w:tabs>
        <w:rPr>
          <w:rFonts w:asciiTheme="minorHAnsi" w:eastAsiaTheme="minorEastAsia" w:hAnsiTheme="minorHAnsi"/>
          <w:noProof/>
          <w:sz w:val="22"/>
          <w:szCs w:val="22"/>
        </w:rPr>
      </w:pPr>
      <w:r>
        <w:rPr>
          <w:noProof/>
        </w:rPr>
        <w:t>Leveraged Investment</w:t>
      </w:r>
      <w:r>
        <w:rPr>
          <w:noProof/>
        </w:rPr>
        <w:tab/>
      </w:r>
      <w:r w:rsidR="00370D51">
        <w:rPr>
          <w:noProof/>
        </w:rPr>
        <w:fldChar w:fldCharType="begin"/>
      </w:r>
      <w:r>
        <w:rPr>
          <w:noProof/>
        </w:rPr>
        <w:instrText xml:space="preserve"> PAGEREF _Toc533742671 \h </w:instrText>
      </w:r>
      <w:r w:rsidR="00370D51">
        <w:rPr>
          <w:noProof/>
        </w:rPr>
      </w:r>
      <w:r w:rsidR="00370D51">
        <w:rPr>
          <w:noProof/>
        </w:rPr>
        <w:fldChar w:fldCharType="separate"/>
      </w:r>
      <w:r w:rsidR="00AC21E1">
        <w:rPr>
          <w:noProof/>
        </w:rPr>
        <w:t>19</w:t>
      </w:r>
      <w:r w:rsidR="00370D51">
        <w:rPr>
          <w:noProof/>
        </w:rPr>
        <w:fldChar w:fldCharType="end"/>
      </w:r>
    </w:p>
    <w:p w:rsidR="00F93D11" w:rsidRDefault="00F93D11">
      <w:pPr>
        <w:pStyle w:val="TOC1"/>
        <w:rPr>
          <w:rFonts w:asciiTheme="minorHAnsi" w:eastAsiaTheme="minorEastAsia" w:hAnsiTheme="minorHAnsi"/>
          <w:caps w:val="0"/>
          <w:noProof/>
          <w:sz w:val="22"/>
        </w:rPr>
      </w:pPr>
      <w:r>
        <w:rPr>
          <w:noProof/>
        </w:rPr>
        <w:t>APPENDIX B: Program Strategies</w:t>
      </w:r>
      <w:r>
        <w:rPr>
          <w:noProof/>
        </w:rPr>
        <w:tab/>
      </w:r>
      <w:r w:rsidR="00370D51">
        <w:rPr>
          <w:noProof/>
        </w:rPr>
        <w:fldChar w:fldCharType="begin"/>
      </w:r>
      <w:r>
        <w:rPr>
          <w:noProof/>
        </w:rPr>
        <w:instrText xml:space="preserve"> PAGEREF _Toc533742672 \h </w:instrText>
      </w:r>
      <w:r w:rsidR="00370D51">
        <w:rPr>
          <w:noProof/>
        </w:rPr>
      </w:r>
      <w:r w:rsidR="00370D51">
        <w:rPr>
          <w:noProof/>
        </w:rPr>
        <w:fldChar w:fldCharType="separate"/>
      </w:r>
      <w:r w:rsidR="00AC21E1">
        <w:rPr>
          <w:noProof/>
        </w:rPr>
        <w:t>20</w:t>
      </w:r>
      <w:r w:rsidR="00370D51">
        <w:rPr>
          <w:noProof/>
        </w:rPr>
        <w:fldChar w:fldCharType="end"/>
      </w:r>
    </w:p>
    <w:p w:rsidR="00F93D11" w:rsidRDefault="00F93D11">
      <w:pPr>
        <w:pStyle w:val="TOC2"/>
        <w:tabs>
          <w:tab w:val="right" w:leader="dot" w:pos="9350"/>
        </w:tabs>
        <w:rPr>
          <w:rFonts w:asciiTheme="minorHAnsi" w:eastAsiaTheme="minorEastAsia" w:hAnsiTheme="minorHAnsi"/>
          <w:noProof/>
          <w:sz w:val="22"/>
          <w:szCs w:val="22"/>
        </w:rPr>
      </w:pPr>
      <w:r>
        <w:rPr>
          <w:noProof/>
        </w:rPr>
        <w:t>Residential Programs</w:t>
      </w:r>
      <w:r>
        <w:rPr>
          <w:noProof/>
        </w:rPr>
        <w:tab/>
      </w:r>
      <w:r w:rsidR="00370D51">
        <w:rPr>
          <w:noProof/>
        </w:rPr>
        <w:fldChar w:fldCharType="begin"/>
      </w:r>
      <w:r>
        <w:rPr>
          <w:noProof/>
        </w:rPr>
        <w:instrText xml:space="preserve"> PAGEREF _Toc533742673 \h </w:instrText>
      </w:r>
      <w:r w:rsidR="00370D51">
        <w:rPr>
          <w:noProof/>
        </w:rPr>
      </w:r>
      <w:r w:rsidR="00370D51">
        <w:rPr>
          <w:noProof/>
        </w:rPr>
        <w:fldChar w:fldCharType="separate"/>
      </w:r>
      <w:r w:rsidR="00AC21E1">
        <w:rPr>
          <w:noProof/>
        </w:rPr>
        <w:t>20</w:t>
      </w:r>
      <w:r w:rsidR="00370D51">
        <w:rPr>
          <w:noProof/>
        </w:rPr>
        <w:fldChar w:fldCharType="end"/>
      </w:r>
    </w:p>
    <w:p w:rsidR="00F93D11" w:rsidRDefault="00F93D11">
      <w:pPr>
        <w:pStyle w:val="TOC2"/>
        <w:tabs>
          <w:tab w:val="right" w:leader="dot" w:pos="9350"/>
        </w:tabs>
        <w:rPr>
          <w:rFonts w:asciiTheme="minorHAnsi" w:eastAsiaTheme="minorEastAsia" w:hAnsiTheme="minorHAnsi"/>
          <w:noProof/>
          <w:sz w:val="22"/>
          <w:szCs w:val="22"/>
        </w:rPr>
      </w:pPr>
      <w:r>
        <w:rPr>
          <w:noProof/>
        </w:rPr>
        <w:t>Commercial and Industrial Programs</w:t>
      </w:r>
      <w:r>
        <w:rPr>
          <w:noProof/>
        </w:rPr>
        <w:tab/>
      </w:r>
      <w:r w:rsidR="00370D51">
        <w:rPr>
          <w:noProof/>
        </w:rPr>
        <w:fldChar w:fldCharType="begin"/>
      </w:r>
      <w:r>
        <w:rPr>
          <w:noProof/>
        </w:rPr>
        <w:instrText xml:space="preserve"> PAGEREF _Toc533742688 \h </w:instrText>
      </w:r>
      <w:r w:rsidR="00370D51">
        <w:rPr>
          <w:noProof/>
        </w:rPr>
      </w:r>
      <w:r w:rsidR="00370D51">
        <w:rPr>
          <w:noProof/>
        </w:rPr>
        <w:fldChar w:fldCharType="separate"/>
      </w:r>
      <w:r w:rsidR="00AC21E1">
        <w:rPr>
          <w:noProof/>
        </w:rPr>
        <w:t>28</w:t>
      </w:r>
      <w:r w:rsidR="00370D51">
        <w:rPr>
          <w:noProof/>
        </w:rPr>
        <w:fldChar w:fldCharType="end"/>
      </w:r>
    </w:p>
    <w:p w:rsidR="00F93D11" w:rsidRDefault="00F93D11">
      <w:pPr>
        <w:pStyle w:val="TOC2"/>
        <w:tabs>
          <w:tab w:val="right" w:leader="dot" w:pos="9350"/>
        </w:tabs>
        <w:rPr>
          <w:rFonts w:asciiTheme="minorHAnsi" w:eastAsiaTheme="minorEastAsia" w:hAnsiTheme="minorHAnsi"/>
          <w:noProof/>
          <w:sz w:val="22"/>
          <w:szCs w:val="22"/>
        </w:rPr>
      </w:pPr>
      <w:r>
        <w:rPr>
          <w:noProof/>
        </w:rPr>
        <w:t>Overall Cost and Savings</w:t>
      </w:r>
      <w:r>
        <w:rPr>
          <w:noProof/>
        </w:rPr>
        <w:tab/>
      </w:r>
      <w:r w:rsidR="00370D51">
        <w:rPr>
          <w:noProof/>
        </w:rPr>
        <w:fldChar w:fldCharType="begin"/>
      </w:r>
      <w:r>
        <w:rPr>
          <w:noProof/>
        </w:rPr>
        <w:instrText xml:space="preserve"> PAGEREF _Toc533742692 \h </w:instrText>
      </w:r>
      <w:r w:rsidR="00370D51">
        <w:rPr>
          <w:noProof/>
        </w:rPr>
      </w:r>
      <w:r w:rsidR="00370D51">
        <w:rPr>
          <w:noProof/>
        </w:rPr>
        <w:fldChar w:fldCharType="separate"/>
      </w:r>
      <w:r w:rsidR="00AC21E1">
        <w:rPr>
          <w:noProof/>
        </w:rPr>
        <w:t>32</w:t>
      </w:r>
      <w:r w:rsidR="00370D51">
        <w:rPr>
          <w:noProof/>
        </w:rPr>
        <w:fldChar w:fldCharType="end"/>
      </w:r>
    </w:p>
    <w:p w:rsidR="004928A9" w:rsidRPr="004928A9" w:rsidRDefault="00370D51" w:rsidP="007608FA">
      <w:pPr>
        <w:pStyle w:val="BodyText"/>
      </w:pPr>
      <w:r>
        <w:fldChar w:fldCharType="end"/>
      </w:r>
    </w:p>
    <w:p w:rsidR="00320511" w:rsidRDefault="00320511" w:rsidP="00320511">
      <w:pPr>
        <w:pStyle w:val="BodyText"/>
      </w:pPr>
    </w:p>
    <w:p w:rsidR="00320511" w:rsidRDefault="00320511" w:rsidP="00320511">
      <w:pPr>
        <w:pStyle w:val="BodyText"/>
        <w:sectPr w:rsidR="00320511" w:rsidSect="00320511">
          <w:pgSz w:w="12240" w:h="15840"/>
          <w:pgMar w:top="1440" w:right="1440" w:bottom="1440" w:left="1440" w:header="720" w:footer="720" w:gutter="0"/>
          <w:cols w:space="720"/>
          <w:docGrid w:linePitch="360"/>
        </w:sectPr>
      </w:pPr>
    </w:p>
    <w:p w:rsidR="00F31F3C" w:rsidRDefault="00505930" w:rsidP="00F31F3C">
      <w:pPr>
        <w:pStyle w:val="Heading1"/>
      </w:pPr>
      <w:bookmarkStart w:id="3" w:name="_Toc533742657"/>
      <w:r>
        <w:lastRenderedPageBreak/>
        <w:t>Background</w:t>
      </w:r>
      <w:bookmarkEnd w:id="3"/>
    </w:p>
    <w:p w:rsidR="00F31F3C" w:rsidRDefault="00F31F3C" w:rsidP="00F31F3C">
      <w:pPr>
        <w:pStyle w:val="BodyText"/>
      </w:pPr>
      <w:r>
        <w:t xml:space="preserve">At the request of the </w:t>
      </w:r>
      <w:r w:rsidR="00B16B28">
        <w:t>Michigan Agency for Energy—</w:t>
      </w:r>
      <w:r>
        <w:t xml:space="preserve">Michigan Energy Office, Public Sector Consultants </w:t>
      </w:r>
      <w:r w:rsidR="00F22D6E">
        <w:t xml:space="preserve">(PSC) </w:t>
      </w:r>
      <w:r w:rsidR="00FE77FF">
        <w:t>has developed a proposed</w:t>
      </w:r>
      <w:r>
        <w:t xml:space="preserve"> energy </w:t>
      </w:r>
      <w:r w:rsidR="00FE77FF">
        <w:t xml:space="preserve">waste reduction (EWR) </w:t>
      </w:r>
      <w:r>
        <w:t xml:space="preserve">plan for </w:t>
      </w:r>
      <w:r w:rsidR="00290C68">
        <w:t xml:space="preserve">Michigan’s </w:t>
      </w:r>
      <w:r>
        <w:t xml:space="preserve">Upper Peninsula (U.P.). </w:t>
      </w:r>
      <w:r w:rsidR="006F7AA1">
        <w:t xml:space="preserve">PSC worked with the Upper Peninsula Commission on Area Progress to identify current characteristics of EWR programs in the U.P. and to gather stakeholder input throughout the development of this plan. </w:t>
      </w:r>
      <w:r>
        <w:t xml:space="preserve">This plan considers the historical success of </w:t>
      </w:r>
      <w:r w:rsidR="00FE77FF">
        <w:t>EWR</w:t>
      </w:r>
      <w:r>
        <w:t xml:space="preserve"> programs, the energy</w:t>
      </w:r>
      <w:r w:rsidR="005A3F0D">
        <w:t>-</w:t>
      </w:r>
      <w:r>
        <w:t xml:space="preserve">efficiency potential </w:t>
      </w:r>
      <w:r w:rsidR="00C105B3">
        <w:t xml:space="preserve">of </w:t>
      </w:r>
      <w:r>
        <w:t xml:space="preserve">the U.P., best practices in program design and implementation, and opportunities for enhancing program efficacy through coordinated delivery activities. </w:t>
      </w:r>
      <w:r w:rsidR="00FE77FF">
        <w:t>Th</w:t>
      </w:r>
      <w:r w:rsidR="00290C68">
        <w:t xml:space="preserve">e </w:t>
      </w:r>
      <w:r w:rsidR="00FE77FF">
        <w:t>plan is designed as a starting point for conversations between U.P. stakeholders, including utilities, program implementers, local government representatives, business</w:t>
      </w:r>
      <w:r w:rsidR="00290C68">
        <w:t>es</w:t>
      </w:r>
      <w:r w:rsidR="00FE77FF">
        <w:t>, residents</w:t>
      </w:r>
      <w:r w:rsidR="00290C68">
        <w:t>,</w:t>
      </w:r>
      <w:r w:rsidR="00FE77FF">
        <w:t xml:space="preserve"> and others</w:t>
      </w:r>
      <w:r w:rsidR="00C105B3">
        <w:t>,</w:t>
      </w:r>
      <w:r w:rsidR="009E3A07">
        <w:t xml:space="preserve"> to identify ways to increase potential benefits of EWR program</w:t>
      </w:r>
      <w:r w:rsidR="00505930">
        <w:t xml:space="preserve"> portfolio</w:t>
      </w:r>
      <w:r w:rsidR="009E3A07">
        <w:t xml:space="preserve">s by capturing delivery efficiencies, expanding the reach of </w:t>
      </w:r>
      <w:r w:rsidR="00505930">
        <w:t xml:space="preserve">existing and future </w:t>
      </w:r>
      <w:r w:rsidR="009E3A07">
        <w:t xml:space="preserve">programs, and leveraging the local EWR investments. </w:t>
      </w:r>
    </w:p>
    <w:p w:rsidR="00505930" w:rsidRDefault="00505930" w:rsidP="00F31F3C">
      <w:pPr>
        <w:pStyle w:val="BodyText"/>
      </w:pPr>
      <w:r>
        <w:t>The report includes the following elements:</w:t>
      </w:r>
    </w:p>
    <w:p w:rsidR="00505930" w:rsidRDefault="00505930" w:rsidP="00505930">
      <w:pPr>
        <w:pStyle w:val="ListBullet"/>
      </w:pPr>
      <w:r>
        <w:t>Background that includes an overview of the current EWR portfolios of the U.P. utilities, including program mix and recent performance</w:t>
      </w:r>
      <w:r w:rsidR="0066340E">
        <w:t xml:space="preserve"> and future estimates of EWR potential</w:t>
      </w:r>
    </w:p>
    <w:p w:rsidR="0066340E" w:rsidRDefault="0066340E" w:rsidP="00505930">
      <w:pPr>
        <w:pStyle w:val="ListBullet"/>
      </w:pPr>
      <w:r>
        <w:t>Description of the process for analyzing potential enhancements in program delivery to reduce cost, increase savings, and expand program reach</w:t>
      </w:r>
    </w:p>
    <w:p w:rsidR="0066340E" w:rsidRPr="0066340E" w:rsidRDefault="0066340E" w:rsidP="0066340E">
      <w:pPr>
        <w:pStyle w:val="ListBullet"/>
      </w:pPr>
      <w:r w:rsidRPr="0066340E">
        <w:t>Recommendations for a process to explore and implement program enhancements</w:t>
      </w:r>
    </w:p>
    <w:p w:rsidR="0066340E" w:rsidRDefault="0066340E" w:rsidP="0066340E">
      <w:pPr>
        <w:pStyle w:val="BodyText"/>
      </w:pPr>
      <w:r>
        <w:t>Appendices provide additional detail around p</w:t>
      </w:r>
      <w:r w:rsidR="00505930">
        <w:t xml:space="preserve">ortfolio strategies that </w:t>
      </w:r>
      <w:r>
        <w:t xml:space="preserve">could be employed based on </w:t>
      </w:r>
      <w:r w:rsidR="00505930">
        <w:t>recognized best practices</w:t>
      </w:r>
      <w:r>
        <w:t xml:space="preserve"> as well as p</w:t>
      </w:r>
      <w:r w:rsidR="00505930">
        <w:t>rogram-specific opportunities to increase savings</w:t>
      </w:r>
      <w:r>
        <w:t>,</w:t>
      </w:r>
      <w:r w:rsidR="00505930">
        <w:t xml:space="preserve"> reduce cost</w:t>
      </w:r>
      <w:r>
        <w:t>, or expand program reach.</w:t>
      </w:r>
    </w:p>
    <w:p w:rsidR="00C2463C" w:rsidRDefault="00505930" w:rsidP="0066340E">
      <w:pPr>
        <w:pStyle w:val="Heading2"/>
      </w:pPr>
      <w:bookmarkStart w:id="4" w:name="_Toc533742658"/>
      <w:r>
        <w:t xml:space="preserve">Current EWR </w:t>
      </w:r>
      <w:r w:rsidR="000C3117">
        <w:t>in the U.P.</w:t>
      </w:r>
      <w:bookmarkEnd w:id="4"/>
    </w:p>
    <w:p w:rsidR="00F31F3C" w:rsidRDefault="00F31F3C" w:rsidP="00F31F3C">
      <w:pPr>
        <w:pStyle w:val="BodyText"/>
      </w:pPr>
      <w:r w:rsidRPr="00DA344A">
        <w:t xml:space="preserve">The U.P. is home to </w:t>
      </w:r>
      <w:r w:rsidR="00290C68">
        <w:t>19</w:t>
      </w:r>
      <w:r w:rsidR="00290C68" w:rsidRPr="00DA344A">
        <w:t xml:space="preserve"> </w:t>
      </w:r>
      <w:r w:rsidRPr="00DA344A">
        <w:t xml:space="preserve">electric suppliers and four natural gas suppliers. U.P. </w:t>
      </w:r>
      <w:r w:rsidR="00290C68">
        <w:t xml:space="preserve">utilities </w:t>
      </w:r>
      <w:r w:rsidRPr="00DA344A">
        <w:t>have been delivering energy</w:t>
      </w:r>
      <w:r w:rsidR="00290C68">
        <w:t>-</w:t>
      </w:r>
      <w:r w:rsidRPr="00DA344A">
        <w:t>efficiency programs since 2008 in compliance with Public Act (PA) 295, the Clean, Renewable and Efficient Energy Act of 2008, and now PA 342</w:t>
      </w:r>
      <w:r w:rsidR="00290C68">
        <w:t xml:space="preserve"> of 2016</w:t>
      </w:r>
      <w:r w:rsidRPr="00DA344A">
        <w:t>, the Clean and Renewable Energy and Energy Waste Reduction Act.</w:t>
      </w:r>
      <w:r>
        <w:rPr>
          <w:rStyle w:val="FootnoteReference"/>
        </w:rPr>
        <w:footnoteReference w:id="2"/>
      </w:r>
      <w:r w:rsidR="00290C68" w:rsidRPr="00F22D6E">
        <w:rPr>
          <w:vertAlign w:val="superscript"/>
        </w:rPr>
        <w:t>,</w:t>
      </w:r>
      <w:r>
        <w:rPr>
          <w:rStyle w:val="FootnoteReference"/>
        </w:rPr>
        <w:footnoteReference w:id="3"/>
      </w:r>
      <w:r w:rsidRPr="00DA344A">
        <w:t xml:space="preserve"> </w:t>
      </w:r>
      <w:r w:rsidR="00C865E7">
        <w:t xml:space="preserve">These statutes require, among other </w:t>
      </w:r>
      <w:r w:rsidR="00994857">
        <w:t>criteria</w:t>
      </w:r>
      <w:r w:rsidR="00C865E7">
        <w:t xml:space="preserve">, that utilities achieve electric energy savings equal to 1 percent of their annual sales and natural gas savings equal to 0.75 percent of annual sales. </w:t>
      </w:r>
      <w:r w:rsidRPr="00DA344A">
        <w:t xml:space="preserve">Most utilities </w:t>
      </w:r>
      <w:r w:rsidR="00135A82">
        <w:t xml:space="preserve">in the U.P. </w:t>
      </w:r>
      <w:r w:rsidRPr="00DA344A">
        <w:t>deliver programs through one of two implementation contractors</w:t>
      </w:r>
      <w:r w:rsidR="00290C68">
        <w:t>—</w:t>
      </w:r>
      <w:r w:rsidR="000C2127">
        <w:t>Efficiency UNITED</w:t>
      </w:r>
      <w:r w:rsidRPr="00DA344A">
        <w:t xml:space="preserve"> and the Michigan Electric Cooperative Association</w:t>
      </w:r>
      <w:r w:rsidR="00430589">
        <w:t xml:space="preserve"> (MECA)</w:t>
      </w:r>
      <w:r w:rsidR="00F96E50">
        <w:t>, with just a few exceptions</w:t>
      </w:r>
      <w:r>
        <w:t>.</w:t>
      </w:r>
      <w:r>
        <w:rPr>
          <w:rStyle w:val="FootnoteReference"/>
        </w:rPr>
        <w:footnoteReference w:id="4"/>
      </w:r>
      <w:r w:rsidR="00754D15" w:rsidDel="00754D15">
        <w:t xml:space="preserve"> </w:t>
      </w:r>
    </w:p>
    <w:p w:rsidR="00A4287F" w:rsidRDefault="00F31F3C" w:rsidP="00F31F3C">
      <w:pPr>
        <w:pStyle w:val="BodyText"/>
      </w:pPr>
      <w:r w:rsidRPr="00BE3548">
        <w:lastRenderedPageBreak/>
        <w:t xml:space="preserve">In 2009, the Michigan Public Service Commission (MPSC) </w:t>
      </w:r>
      <w:r w:rsidR="00E725D5">
        <w:t xml:space="preserve">selected </w:t>
      </w:r>
      <w:r w:rsidR="000C3117">
        <w:t xml:space="preserve">Michigan Community Action and CLEAResult (operating as </w:t>
      </w:r>
      <w:r w:rsidR="000C2127">
        <w:t>Efficiency UNITED</w:t>
      </w:r>
      <w:r w:rsidR="000C3117">
        <w:t>)</w:t>
      </w:r>
      <w:r w:rsidR="00E725D5">
        <w:t xml:space="preserve"> as the</w:t>
      </w:r>
      <w:r w:rsidRPr="00BE3548">
        <w:t xml:space="preserve"> state energy optimization plan administrator through a competitive process. Funding program delivery by the administrator provide</w:t>
      </w:r>
      <w:r w:rsidR="00E725D5">
        <w:t>s</w:t>
      </w:r>
      <w:r w:rsidRPr="00BE3548">
        <w:t xml:space="preserve"> an optional path </w:t>
      </w:r>
      <w:r w:rsidR="000C3117" w:rsidRPr="004928A9">
        <w:t>for utilities to comply</w:t>
      </w:r>
      <w:r w:rsidRPr="00BE3548">
        <w:t xml:space="preserve"> with PA 295</w:t>
      </w:r>
      <w:r w:rsidR="00E725D5">
        <w:t>, amended by PA 342</w:t>
      </w:r>
      <w:r>
        <w:t>.</w:t>
      </w:r>
      <w:r w:rsidRPr="00BE3548">
        <w:t xml:space="preserve"> Utilities opting for th</w:t>
      </w:r>
      <w:r w:rsidR="00430589">
        <w:t>is</w:t>
      </w:r>
      <w:r w:rsidRPr="00BE3548">
        <w:t xml:space="preserve"> alternate compliance path make a payment of </w:t>
      </w:r>
      <w:r w:rsidR="00D4776B">
        <w:t>2</w:t>
      </w:r>
      <w:r w:rsidR="00D4776B" w:rsidRPr="00BE3548">
        <w:t xml:space="preserve"> </w:t>
      </w:r>
      <w:r w:rsidRPr="00BE3548">
        <w:t>percent of revenue to the plan administrator.</w:t>
      </w:r>
      <w:r>
        <w:rPr>
          <w:rStyle w:val="FootnoteReference"/>
        </w:rPr>
        <w:footnoteReference w:id="5"/>
      </w:r>
      <w:r w:rsidRPr="00BE3548">
        <w:t xml:space="preserve"> </w:t>
      </w:r>
      <w:r w:rsidR="000C3117">
        <w:t xml:space="preserve">Currently, </w:t>
      </w:r>
      <w:r w:rsidR="000C2127">
        <w:t>Efficiency UNITED</w:t>
      </w:r>
      <w:r w:rsidRPr="00BE3548">
        <w:t xml:space="preserve"> is implementing programs for </w:t>
      </w:r>
      <w:r w:rsidR="00C97E4B">
        <w:t xml:space="preserve">one </w:t>
      </w:r>
      <w:r>
        <w:t>electric</w:t>
      </w:r>
      <w:r w:rsidR="000C3117">
        <w:t xml:space="preserve"> and one dual-fuel</w:t>
      </w:r>
      <w:r w:rsidRPr="00BE3548">
        <w:t xml:space="preserve"> investor-owned utilities</w:t>
      </w:r>
      <w:r w:rsidR="000C3117">
        <w:t xml:space="preserve"> and</w:t>
      </w:r>
      <w:r w:rsidR="00A4287F">
        <w:t xml:space="preserve"> </w:t>
      </w:r>
      <w:r w:rsidRPr="00BE3548">
        <w:t>six municipal utilities</w:t>
      </w:r>
      <w:r w:rsidR="000C3117">
        <w:t xml:space="preserve"> as the state plan </w:t>
      </w:r>
      <w:r w:rsidR="00A4287F">
        <w:t>administrator</w:t>
      </w:r>
      <w:r w:rsidRPr="00BE3548">
        <w:t xml:space="preserve">. </w:t>
      </w:r>
    </w:p>
    <w:p w:rsidR="00F31F3C" w:rsidRDefault="00A4287F" w:rsidP="00F31F3C">
      <w:pPr>
        <w:pStyle w:val="BodyText"/>
      </w:pPr>
      <w:r>
        <w:t xml:space="preserve">In addition, Efficiency UNITED contracts directly with one investor-owned gas utility provider and one investor-owned electric utility provider in the U.P. to implement programs. </w:t>
      </w:r>
      <w:r w:rsidR="00F31F3C">
        <w:t xml:space="preserve">The MECA </w:t>
      </w:r>
      <w:r w:rsidR="003C6165">
        <w:t xml:space="preserve">(operating as the MECA </w:t>
      </w:r>
      <w:r w:rsidR="00E725D5">
        <w:t>C</w:t>
      </w:r>
      <w:r w:rsidR="00F31F3C">
        <w:t>ollaborative</w:t>
      </w:r>
      <w:r w:rsidR="003C6165">
        <w:t>)</w:t>
      </w:r>
      <w:r w:rsidR="00F31F3C">
        <w:t xml:space="preserve"> contracts with the Wisconsin Energy Conservation Corporation to implement programs on behalf of </w:t>
      </w:r>
      <w:r w:rsidR="00430589">
        <w:t xml:space="preserve">13 </w:t>
      </w:r>
      <w:r w:rsidR="00F31F3C">
        <w:t>electric utilities across Michigan</w:t>
      </w:r>
      <w:r w:rsidR="00430589">
        <w:t>,</w:t>
      </w:r>
      <w:r w:rsidR="00F31F3C">
        <w:t xml:space="preserve"> including three cooperative utilities and eight municipal utilities in the U.P</w:t>
      </w:r>
      <w:r>
        <w:t>.</w:t>
      </w:r>
    </w:p>
    <w:p w:rsidR="0066340E" w:rsidRDefault="00F31F3C" w:rsidP="00F31F3C">
      <w:pPr>
        <w:pStyle w:val="BodyText"/>
      </w:pPr>
      <w:r>
        <w:t>In 2016, utility programs in the U.P. achieved electric savings of nearly 43 million kilowatt-hours (kWh), including approximately 2.5 million kWh in self-directed savings. These savings represent 134 percent of the annual target.</w:t>
      </w:r>
      <w:r>
        <w:rPr>
          <w:rStyle w:val="FootnoteReference"/>
        </w:rPr>
        <w:footnoteReference w:id="6"/>
      </w:r>
      <w:r>
        <w:t xml:space="preserve"> </w:t>
      </w:r>
      <w:r w:rsidR="007D1313">
        <w:t>Exhibit 1 shows savings</w:t>
      </w:r>
      <w:r>
        <w:t xml:space="preserve"> for utilities served by </w:t>
      </w:r>
      <w:r w:rsidR="000C2127">
        <w:t>Efficiency UNITED</w:t>
      </w:r>
      <w:r>
        <w:t xml:space="preserve"> in grey and</w:t>
      </w:r>
      <w:r w:rsidR="007D1313">
        <w:t xml:space="preserve"> for</w:t>
      </w:r>
      <w:r>
        <w:t xml:space="preserve"> utilities that are part of the MECA </w:t>
      </w:r>
      <w:r w:rsidR="007D1313">
        <w:t>C</w:t>
      </w:r>
      <w:r>
        <w:t xml:space="preserve">ollaborative in yellow. </w:t>
      </w:r>
      <w:r w:rsidR="00F14DE1">
        <w:t xml:space="preserve">The savings shown include market transformation bonuses, </w:t>
      </w:r>
      <w:r w:rsidR="00430589">
        <w:t xml:space="preserve">which are </w:t>
      </w:r>
      <w:r w:rsidR="00E726F1">
        <w:t>savings multipliers designed to encourage promotion of emerging technologies</w:t>
      </w:r>
      <w:r w:rsidR="00364D57">
        <w:t>.</w:t>
      </w:r>
      <w:r w:rsidR="00B07B5C">
        <w:t xml:space="preserve"> The market transformation bonuses</w:t>
      </w:r>
      <w:r w:rsidR="00430589">
        <w:t>,</w:t>
      </w:r>
      <w:r w:rsidR="00B07B5C">
        <w:t xml:space="preserve"> </w:t>
      </w:r>
      <w:r w:rsidR="00E726F1">
        <w:t>which</w:t>
      </w:r>
      <w:r w:rsidR="00430589">
        <w:t>,</w:t>
      </w:r>
      <w:r w:rsidR="00E726F1">
        <w:t xml:space="preserve"> for some utilities</w:t>
      </w:r>
      <w:r w:rsidR="00430589">
        <w:t>,</w:t>
      </w:r>
      <w:r w:rsidR="00E726F1">
        <w:t xml:space="preserve"> accounted for over 35 percent of the 2016 savings targets</w:t>
      </w:r>
      <w:r w:rsidR="00430589">
        <w:t>,</w:t>
      </w:r>
      <w:r w:rsidR="00E726F1">
        <w:t xml:space="preserve"> </w:t>
      </w:r>
      <w:r w:rsidR="00E725D5">
        <w:t>no</w:t>
      </w:r>
      <w:r w:rsidR="00B07B5C">
        <w:t xml:space="preserve"> longer </w:t>
      </w:r>
      <w:r w:rsidR="00E726F1">
        <w:t>count toward EWR goals</w:t>
      </w:r>
      <w:r w:rsidR="00B07B5C">
        <w:t xml:space="preserve"> </w:t>
      </w:r>
      <w:r w:rsidR="00C01908">
        <w:t>(</w:t>
      </w:r>
      <w:r w:rsidR="00A86AC9">
        <w:t xml:space="preserve">Art </w:t>
      </w:r>
      <w:r w:rsidR="00C01908">
        <w:t>Thayer, pers. comm.).</w:t>
      </w:r>
      <w:r w:rsidR="00D06AB3">
        <w:t xml:space="preserve"> The MPSC disallowed market transformation bonuses beginning in 2018 as part of the transition from PA</w:t>
      </w:r>
      <w:r w:rsidR="00A86AC9">
        <w:t xml:space="preserve"> </w:t>
      </w:r>
      <w:r w:rsidR="00D06AB3">
        <w:t>295 to PA</w:t>
      </w:r>
      <w:r w:rsidR="00A86AC9">
        <w:t xml:space="preserve"> </w:t>
      </w:r>
      <w:r w:rsidR="00D06AB3">
        <w:t>342, as requirements for utility integrated resource planning places more emphasis on actual energy savings (</w:t>
      </w:r>
      <w:r w:rsidR="00A86AC9">
        <w:t xml:space="preserve">Karen </w:t>
      </w:r>
      <w:r w:rsidR="00D06AB3">
        <w:t>Gould, pers.</w:t>
      </w:r>
      <w:r w:rsidR="00A86AC9">
        <w:t xml:space="preserve"> </w:t>
      </w:r>
      <w:r w:rsidR="00D06AB3">
        <w:t>comm.)</w:t>
      </w:r>
    </w:p>
    <w:p w:rsidR="0066340E" w:rsidRDefault="0066340E">
      <w:pPr>
        <w:rPr>
          <w:rFonts w:ascii="Georgia" w:hAnsi="Georgia"/>
          <w:color w:val="000000" w:themeColor="text1"/>
          <w:sz w:val="20"/>
          <w:szCs w:val="18"/>
        </w:rPr>
      </w:pPr>
      <w:r>
        <w:br w:type="page"/>
      </w:r>
    </w:p>
    <w:p w:rsidR="00935657" w:rsidRDefault="00935657" w:rsidP="00231569">
      <w:pPr>
        <w:pStyle w:val="ExhibitTitle"/>
      </w:pPr>
      <w:bookmarkStart w:id="5" w:name="_Ref513461126"/>
      <w:bookmarkStart w:id="6" w:name="_Hlk514007584"/>
      <w:r>
        <w:lastRenderedPageBreak/>
        <w:t xml:space="preserve">Exhibit </w:t>
      </w:r>
      <w:r w:rsidR="00370D51">
        <w:rPr>
          <w:noProof/>
        </w:rPr>
        <w:fldChar w:fldCharType="begin"/>
      </w:r>
      <w:r w:rsidR="003A6383">
        <w:rPr>
          <w:noProof/>
        </w:rPr>
        <w:instrText xml:space="preserve"> SEQ Exhibit \* ARABIC </w:instrText>
      </w:r>
      <w:r w:rsidR="00370D51">
        <w:rPr>
          <w:noProof/>
        </w:rPr>
        <w:fldChar w:fldCharType="separate"/>
      </w:r>
      <w:r w:rsidR="005D34DF">
        <w:rPr>
          <w:noProof/>
        </w:rPr>
        <w:t>1</w:t>
      </w:r>
      <w:r w:rsidR="00370D51">
        <w:rPr>
          <w:noProof/>
        </w:rPr>
        <w:fldChar w:fldCharType="end"/>
      </w:r>
      <w:bookmarkEnd w:id="5"/>
      <w:r w:rsidR="00231569">
        <w:t>: Annual Savings Achievement by Utility</w:t>
      </w:r>
      <w:r w:rsidR="007B4B06">
        <w:t xml:space="preserve"> </w:t>
      </w:r>
      <w:r w:rsidR="004928A9">
        <w:t xml:space="preserve">(by </w:t>
      </w:r>
      <w:r w:rsidR="003C6165">
        <w:t xml:space="preserve">Megawatt-hours </w:t>
      </w:r>
      <w:r w:rsidR="003C7A84">
        <w:t xml:space="preserve">(MWhs) </w:t>
      </w:r>
      <w:r w:rsidR="00DA1FE0">
        <w:t>and Perc</w:t>
      </w:r>
      <w:r w:rsidR="00447C12">
        <w:t>e</w:t>
      </w:r>
      <w:r w:rsidR="00DA1FE0">
        <w:t>nt</w:t>
      </w:r>
      <w:r w:rsidR="00430589">
        <w:t>age</w:t>
      </w:r>
      <w:r w:rsidR="00DA1FE0">
        <w:t xml:space="preserve"> of Target</w:t>
      </w:r>
      <w:r w:rsidR="00E725D5">
        <w:t xml:space="preserve"> Achieved</w:t>
      </w:r>
      <w:r w:rsidR="004928A9">
        <w:t>)</w:t>
      </w:r>
    </w:p>
    <w:tbl>
      <w:tblPr>
        <w:tblW w:w="9360" w:type="dxa"/>
        <w:tblLook w:val="04A0"/>
      </w:tblPr>
      <w:tblGrid>
        <w:gridCol w:w="9576"/>
      </w:tblGrid>
      <w:tr w:rsidR="006A7EFB" w:rsidRPr="00ED0CBB" w:rsidTr="00551571">
        <w:trPr>
          <w:trHeight w:val="20"/>
        </w:trPr>
        <w:tc>
          <w:tcPr>
            <w:tcW w:w="9360" w:type="dxa"/>
            <w:tcBorders>
              <w:top w:val="nil"/>
              <w:left w:val="nil"/>
              <w:bottom w:val="nil"/>
              <w:right w:val="nil"/>
            </w:tcBorders>
            <w:shd w:val="clear" w:color="auto" w:fill="auto"/>
            <w:noWrap/>
            <w:vAlign w:val="bottom"/>
          </w:tcPr>
          <w:bookmarkEnd w:id="6"/>
          <w:p w:rsidR="006A7EFB" w:rsidRPr="003A3D1D" w:rsidRDefault="00A427E4" w:rsidP="0066340E">
            <w:pPr>
              <w:pStyle w:val="TableData"/>
              <w:spacing w:before="0" w:after="0"/>
              <w:jc w:val="center"/>
              <w:rPr>
                <w:b/>
                <w:sz w:val="16"/>
              </w:rPr>
            </w:pPr>
            <w:r w:rsidRPr="00502E12">
              <w:rPr>
                <w:rFonts w:ascii="Swis721 BT" w:hAnsi="Swis721 BT"/>
                <w:noProof/>
              </w:rPr>
              <w:drawing>
                <wp:inline distT="0" distB="0" distL="0" distR="0">
                  <wp:extent cx="5943600" cy="2103120"/>
                  <wp:effectExtent l="0" t="0" r="0" b="11430"/>
                  <wp:docPr id="17" name="Chart 1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F190BE11-317C-43DD-B803-7F9A7A66A0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rPr>
              <w:drawing>
                <wp:inline distT="0" distB="0" distL="0" distR="0">
                  <wp:extent cx="4229100" cy="2762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738" t="88133" r="4017" b="1843"/>
                          <a:stretch/>
                        </pic:blipFill>
                        <pic:spPr bwMode="auto">
                          <a:xfrm>
                            <a:off x="0" y="0"/>
                            <a:ext cx="4229100" cy="2762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r>
    </w:tbl>
    <w:p w:rsidR="00F31F3C" w:rsidRDefault="00A427E4" w:rsidP="007D1313">
      <w:pPr>
        <w:pStyle w:val="BodyText"/>
        <w:jc w:val="center"/>
      </w:pPr>
      <w:r>
        <w:rPr>
          <w:noProof/>
        </w:rPr>
        <w:drawing>
          <wp:anchor distT="0" distB="0" distL="114300" distR="114300" simplePos="0" relativeHeight="251664384" behindDoc="0" locked="0" layoutInCell="1" allowOverlap="1">
            <wp:simplePos x="0" y="0"/>
            <wp:positionH relativeFrom="column">
              <wp:posOffset>696331</wp:posOffset>
            </wp:positionH>
            <wp:positionV relativeFrom="paragraph">
              <wp:posOffset>2352675</wp:posOffset>
            </wp:positionV>
            <wp:extent cx="4233545" cy="2743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738" t="88133" r="4017" b="1843"/>
                    <a:stretch/>
                  </pic:blipFill>
                  <pic:spPr bwMode="auto">
                    <a:xfrm>
                      <a:off x="0" y="0"/>
                      <a:ext cx="4233545" cy="2743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3A6383" w:rsidRPr="003A6383">
        <w:rPr>
          <w:noProof/>
        </w:rPr>
        <w:drawing>
          <wp:inline distT="0" distB="0" distL="0" distR="0">
            <wp:extent cx="5943600" cy="2377440"/>
            <wp:effectExtent l="0" t="0" r="0" b="3810"/>
            <wp:docPr id="16" name="Chart 1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889CC63-7131-4DB8-9435-90FCE8531D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W w:w="9360" w:type="dxa"/>
        <w:tblLook w:val="04A0"/>
      </w:tblPr>
      <w:tblGrid>
        <w:gridCol w:w="432"/>
        <w:gridCol w:w="4320"/>
        <w:gridCol w:w="432"/>
        <w:gridCol w:w="4176"/>
      </w:tblGrid>
      <w:tr w:rsidR="00F31F3C" w:rsidRPr="00ED0CBB" w:rsidTr="00871105">
        <w:trPr>
          <w:trHeight w:val="20"/>
        </w:trPr>
        <w:tc>
          <w:tcPr>
            <w:tcW w:w="9360" w:type="dxa"/>
            <w:gridSpan w:val="4"/>
            <w:tcBorders>
              <w:top w:val="nil"/>
              <w:left w:val="nil"/>
              <w:bottom w:val="nil"/>
              <w:right w:val="nil"/>
            </w:tcBorders>
            <w:shd w:val="clear" w:color="auto" w:fill="auto"/>
            <w:noWrap/>
            <w:vAlign w:val="bottom"/>
          </w:tcPr>
          <w:p w:rsidR="00487E12" w:rsidRDefault="00487E12" w:rsidP="000B2994">
            <w:pPr>
              <w:pStyle w:val="TableData"/>
              <w:spacing w:before="0" w:after="0"/>
              <w:rPr>
                <w:b/>
                <w:sz w:val="16"/>
              </w:rPr>
            </w:pPr>
          </w:p>
          <w:p w:rsidR="00F31F3C" w:rsidRPr="003A3D1D" w:rsidRDefault="00F31F3C" w:rsidP="000B2994">
            <w:pPr>
              <w:pStyle w:val="TableData"/>
              <w:spacing w:before="0" w:after="0"/>
              <w:rPr>
                <w:b/>
                <w:sz w:val="16"/>
              </w:rPr>
            </w:pPr>
            <w:r w:rsidRPr="003A3D1D">
              <w:rPr>
                <w:b/>
                <w:sz w:val="16"/>
              </w:rPr>
              <w:t>Utility Key</w:t>
            </w:r>
          </w:p>
        </w:tc>
      </w:tr>
      <w:tr w:rsidR="00D53A9A" w:rsidRPr="00ED0CBB" w:rsidTr="00871105">
        <w:trPr>
          <w:trHeight w:val="20"/>
        </w:trPr>
        <w:tc>
          <w:tcPr>
            <w:tcW w:w="432" w:type="dxa"/>
            <w:tcBorders>
              <w:top w:val="nil"/>
              <w:left w:val="nil"/>
              <w:bottom w:val="nil"/>
              <w:right w:val="nil"/>
            </w:tcBorders>
            <w:shd w:val="clear" w:color="auto" w:fill="auto"/>
            <w:noWrap/>
            <w:vAlign w:val="bottom"/>
            <w:hideMark/>
          </w:tcPr>
          <w:p w:rsidR="00D53A9A" w:rsidRPr="00B638CF" w:rsidRDefault="00D53A9A" w:rsidP="00D53A9A">
            <w:pPr>
              <w:pStyle w:val="TableData"/>
              <w:rPr>
                <w:sz w:val="16"/>
              </w:rPr>
            </w:pPr>
            <w:bookmarkStart w:id="7" w:name="_Hlk514067804"/>
            <w:r w:rsidRPr="00B638CF">
              <w:rPr>
                <w:sz w:val="16"/>
              </w:rPr>
              <w:t>A</w:t>
            </w:r>
          </w:p>
        </w:tc>
        <w:tc>
          <w:tcPr>
            <w:tcW w:w="4320" w:type="dxa"/>
            <w:tcBorders>
              <w:top w:val="nil"/>
              <w:left w:val="nil"/>
              <w:bottom w:val="nil"/>
              <w:right w:val="nil"/>
            </w:tcBorders>
            <w:shd w:val="clear" w:color="auto" w:fill="auto"/>
            <w:noWrap/>
            <w:vAlign w:val="bottom"/>
            <w:hideMark/>
          </w:tcPr>
          <w:p w:rsidR="00D53A9A" w:rsidRPr="00B638CF" w:rsidRDefault="00D53A9A" w:rsidP="000B2994">
            <w:pPr>
              <w:pStyle w:val="TableData"/>
              <w:spacing w:before="0" w:after="0"/>
              <w:rPr>
                <w:sz w:val="16"/>
              </w:rPr>
            </w:pPr>
            <w:r w:rsidRPr="00D53A9A">
              <w:rPr>
                <w:sz w:val="16"/>
              </w:rPr>
              <w:t>Alger Delta Cooperative Electric Association</w:t>
            </w:r>
          </w:p>
        </w:tc>
        <w:tc>
          <w:tcPr>
            <w:tcW w:w="432" w:type="dxa"/>
            <w:tcBorders>
              <w:top w:val="nil"/>
              <w:left w:val="nil"/>
              <w:bottom w:val="nil"/>
              <w:right w:val="nil"/>
            </w:tcBorders>
            <w:shd w:val="clear" w:color="auto" w:fill="auto"/>
            <w:noWrap/>
            <w:vAlign w:val="bottom"/>
            <w:hideMark/>
          </w:tcPr>
          <w:p w:rsidR="00D53A9A" w:rsidRPr="00B638CF" w:rsidRDefault="00D53A9A" w:rsidP="000B2994">
            <w:pPr>
              <w:pStyle w:val="TableData"/>
              <w:spacing w:before="0" w:after="0"/>
              <w:rPr>
                <w:sz w:val="16"/>
              </w:rPr>
            </w:pPr>
            <w:r w:rsidRPr="00B638CF">
              <w:rPr>
                <w:sz w:val="16"/>
              </w:rPr>
              <w:t>K</w:t>
            </w:r>
          </w:p>
        </w:tc>
        <w:tc>
          <w:tcPr>
            <w:tcW w:w="4176" w:type="dxa"/>
            <w:tcBorders>
              <w:top w:val="nil"/>
              <w:left w:val="nil"/>
              <w:bottom w:val="nil"/>
              <w:right w:val="nil"/>
            </w:tcBorders>
            <w:shd w:val="clear" w:color="auto" w:fill="auto"/>
            <w:noWrap/>
            <w:vAlign w:val="bottom"/>
            <w:hideMark/>
          </w:tcPr>
          <w:p w:rsidR="00D53A9A" w:rsidRPr="00B638CF" w:rsidRDefault="00D53A9A" w:rsidP="000B2994">
            <w:pPr>
              <w:pStyle w:val="TableData"/>
              <w:spacing w:before="0" w:after="0"/>
              <w:rPr>
                <w:sz w:val="16"/>
              </w:rPr>
            </w:pPr>
            <w:r w:rsidRPr="00D53A9A">
              <w:rPr>
                <w:sz w:val="16"/>
              </w:rPr>
              <w:t>Negaunee Department of Public Works</w:t>
            </w:r>
          </w:p>
        </w:tc>
      </w:tr>
      <w:tr w:rsidR="00D53A9A" w:rsidRPr="00ED0CBB" w:rsidTr="00871105">
        <w:trPr>
          <w:trHeight w:val="20"/>
        </w:trPr>
        <w:tc>
          <w:tcPr>
            <w:tcW w:w="432" w:type="dxa"/>
            <w:tcBorders>
              <w:top w:val="nil"/>
              <w:left w:val="nil"/>
              <w:bottom w:val="nil"/>
              <w:right w:val="nil"/>
            </w:tcBorders>
            <w:shd w:val="clear" w:color="auto" w:fill="auto"/>
            <w:noWrap/>
            <w:vAlign w:val="bottom"/>
            <w:hideMark/>
          </w:tcPr>
          <w:p w:rsidR="00D53A9A" w:rsidRPr="00B638CF" w:rsidRDefault="00D53A9A" w:rsidP="00D53A9A">
            <w:pPr>
              <w:pStyle w:val="TableData"/>
              <w:rPr>
                <w:sz w:val="16"/>
              </w:rPr>
            </w:pPr>
            <w:r w:rsidRPr="00B638CF">
              <w:rPr>
                <w:sz w:val="16"/>
              </w:rPr>
              <w:t>B</w:t>
            </w:r>
          </w:p>
        </w:tc>
        <w:tc>
          <w:tcPr>
            <w:tcW w:w="4320" w:type="dxa"/>
            <w:tcBorders>
              <w:top w:val="nil"/>
              <w:left w:val="nil"/>
              <w:bottom w:val="nil"/>
              <w:right w:val="nil"/>
            </w:tcBorders>
            <w:shd w:val="clear" w:color="auto" w:fill="auto"/>
            <w:noWrap/>
            <w:vAlign w:val="bottom"/>
            <w:hideMark/>
          </w:tcPr>
          <w:p w:rsidR="00D53A9A" w:rsidRPr="00B638CF" w:rsidRDefault="00D53A9A" w:rsidP="000B2994">
            <w:pPr>
              <w:pStyle w:val="TableData"/>
              <w:spacing w:before="0" w:after="0"/>
              <w:rPr>
                <w:sz w:val="16"/>
              </w:rPr>
            </w:pPr>
            <w:r w:rsidRPr="00D53A9A">
              <w:rPr>
                <w:sz w:val="16"/>
              </w:rPr>
              <w:t>Village of Baraga</w:t>
            </w:r>
          </w:p>
        </w:tc>
        <w:tc>
          <w:tcPr>
            <w:tcW w:w="432" w:type="dxa"/>
            <w:tcBorders>
              <w:top w:val="nil"/>
              <w:left w:val="nil"/>
              <w:bottom w:val="nil"/>
              <w:right w:val="nil"/>
            </w:tcBorders>
            <w:shd w:val="clear" w:color="auto" w:fill="auto"/>
            <w:noWrap/>
            <w:vAlign w:val="bottom"/>
            <w:hideMark/>
          </w:tcPr>
          <w:p w:rsidR="00D53A9A" w:rsidRPr="00B638CF" w:rsidRDefault="00D53A9A" w:rsidP="000B2994">
            <w:pPr>
              <w:pStyle w:val="TableData"/>
              <w:spacing w:before="0" w:after="0"/>
              <w:rPr>
                <w:sz w:val="16"/>
              </w:rPr>
            </w:pPr>
            <w:r w:rsidRPr="00B638CF">
              <w:rPr>
                <w:sz w:val="16"/>
              </w:rPr>
              <w:t>L</w:t>
            </w:r>
          </w:p>
        </w:tc>
        <w:tc>
          <w:tcPr>
            <w:tcW w:w="4176" w:type="dxa"/>
            <w:tcBorders>
              <w:top w:val="nil"/>
              <w:left w:val="nil"/>
              <w:bottom w:val="nil"/>
              <w:right w:val="nil"/>
            </w:tcBorders>
            <w:shd w:val="clear" w:color="auto" w:fill="auto"/>
            <w:noWrap/>
            <w:vAlign w:val="bottom"/>
            <w:hideMark/>
          </w:tcPr>
          <w:p w:rsidR="00D53A9A" w:rsidRPr="00B638CF" w:rsidRDefault="00D53A9A" w:rsidP="000B2994">
            <w:pPr>
              <w:pStyle w:val="TableData"/>
              <w:spacing w:before="0" w:after="0"/>
              <w:rPr>
                <w:sz w:val="16"/>
              </w:rPr>
            </w:pPr>
            <w:r w:rsidRPr="00D53A9A">
              <w:rPr>
                <w:sz w:val="16"/>
              </w:rPr>
              <w:t>Newberry Water and Light Board</w:t>
            </w:r>
          </w:p>
        </w:tc>
      </w:tr>
      <w:tr w:rsidR="00D53A9A" w:rsidRPr="00ED0CBB" w:rsidTr="00871105">
        <w:trPr>
          <w:trHeight w:val="20"/>
        </w:trPr>
        <w:tc>
          <w:tcPr>
            <w:tcW w:w="432" w:type="dxa"/>
            <w:tcBorders>
              <w:top w:val="nil"/>
              <w:left w:val="nil"/>
              <w:bottom w:val="nil"/>
              <w:right w:val="nil"/>
            </w:tcBorders>
            <w:shd w:val="clear" w:color="auto" w:fill="auto"/>
            <w:noWrap/>
            <w:vAlign w:val="bottom"/>
            <w:hideMark/>
          </w:tcPr>
          <w:p w:rsidR="00D53A9A" w:rsidRPr="00B638CF" w:rsidRDefault="00D53A9A" w:rsidP="00D53A9A">
            <w:pPr>
              <w:pStyle w:val="TableData"/>
              <w:rPr>
                <w:sz w:val="16"/>
              </w:rPr>
            </w:pPr>
            <w:r w:rsidRPr="00B638CF">
              <w:rPr>
                <w:sz w:val="16"/>
              </w:rPr>
              <w:t>C</w:t>
            </w:r>
          </w:p>
        </w:tc>
        <w:tc>
          <w:tcPr>
            <w:tcW w:w="4320" w:type="dxa"/>
            <w:tcBorders>
              <w:top w:val="nil"/>
              <w:left w:val="nil"/>
              <w:bottom w:val="nil"/>
              <w:right w:val="nil"/>
            </w:tcBorders>
            <w:shd w:val="clear" w:color="auto" w:fill="auto"/>
            <w:noWrap/>
            <w:vAlign w:val="bottom"/>
            <w:hideMark/>
          </w:tcPr>
          <w:p w:rsidR="00D53A9A" w:rsidRPr="00B638CF" w:rsidRDefault="00D53A9A" w:rsidP="000B2994">
            <w:pPr>
              <w:pStyle w:val="TableData"/>
              <w:spacing w:before="0" w:after="0"/>
              <w:rPr>
                <w:sz w:val="16"/>
              </w:rPr>
            </w:pPr>
            <w:r w:rsidRPr="00D53A9A">
              <w:rPr>
                <w:sz w:val="16"/>
              </w:rPr>
              <w:t>Bayfield Electric Cooperative</w:t>
            </w:r>
          </w:p>
        </w:tc>
        <w:tc>
          <w:tcPr>
            <w:tcW w:w="432" w:type="dxa"/>
            <w:tcBorders>
              <w:top w:val="nil"/>
              <w:left w:val="nil"/>
              <w:bottom w:val="nil"/>
              <w:right w:val="nil"/>
            </w:tcBorders>
            <w:shd w:val="clear" w:color="auto" w:fill="auto"/>
            <w:noWrap/>
            <w:vAlign w:val="bottom"/>
            <w:hideMark/>
          </w:tcPr>
          <w:p w:rsidR="00D53A9A" w:rsidRPr="00B638CF" w:rsidRDefault="00D53A9A" w:rsidP="000B2994">
            <w:pPr>
              <w:pStyle w:val="TableData"/>
              <w:spacing w:before="0" w:after="0"/>
              <w:rPr>
                <w:sz w:val="16"/>
              </w:rPr>
            </w:pPr>
            <w:r w:rsidRPr="00B638CF">
              <w:rPr>
                <w:sz w:val="16"/>
              </w:rPr>
              <w:t>M</w:t>
            </w:r>
          </w:p>
        </w:tc>
        <w:tc>
          <w:tcPr>
            <w:tcW w:w="4176" w:type="dxa"/>
            <w:tcBorders>
              <w:top w:val="nil"/>
              <w:left w:val="nil"/>
              <w:bottom w:val="nil"/>
              <w:right w:val="nil"/>
            </w:tcBorders>
            <w:shd w:val="clear" w:color="auto" w:fill="auto"/>
            <w:noWrap/>
            <w:vAlign w:val="bottom"/>
            <w:hideMark/>
          </w:tcPr>
          <w:p w:rsidR="00D53A9A" w:rsidRPr="00B638CF" w:rsidRDefault="00D53A9A" w:rsidP="000B2994">
            <w:pPr>
              <w:pStyle w:val="TableData"/>
              <w:spacing w:before="0" w:after="0"/>
              <w:rPr>
                <w:sz w:val="16"/>
              </w:rPr>
            </w:pPr>
            <w:r w:rsidRPr="00D53A9A">
              <w:rPr>
                <w:sz w:val="16"/>
              </w:rPr>
              <w:t>City of Norway</w:t>
            </w:r>
          </w:p>
        </w:tc>
      </w:tr>
      <w:tr w:rsidR="00D53A9A" w:rsidRPr="00ED0CBB" w:rsidTr="00871105">
        <w:trPr>
          <w:trHeight w:val="20"/>
        </w:trPr>
        <w:tc>
          <w:tcPr>
            <w:tcW w:w="432" w:type="dxa"/>
            <w:tcBorders>
              <w:top w:val="nil"/>
              <w:left w:val="nil"/>
              <w:bottom w:val="nil"/>
              <w:right w:val="nil"/>
            </w:tcBorders>
            <w:shd w:val="clear" w:color="auto" w:fill="auto"/>
            <w:noWrap/>
            <w:vAlign w:val="bottom"/>
            <w:hideMark/>
          </w:tcPr>
          <w:p w:rsidR="00D53A9A" w:rsidRPr="00B638CF" w:rsidRDefault="00D53A9A" w:rsidP="00D53A9A">
            <w:pPr>
              <w:pStyle w:val="TableData"/>
              <w:rPr>
                <w:sz w:val="16"/>
              </w:rPr>
            </w:pPr>
            <w:r w:rsidRPr="00B638CF">
              <w:rPr>
                <w:sz w:val="16"/>
              </w:rPr>
              <w:t>D</w:t>
            </w:r>
          </w:p>
        </w:tc>
        <w:tc>
          <w:tcPr>
            <w:tcW w:w="4320" w:type="dxa"/>
            <w:tcBorders>
              <w:top w:val="nil"/>
              <w:left w:val="nil"/>
              <w:bottom w:val="nil"/>
              <w:right w:val="nil"/>
            </w:tcBorders>
            <w:shd w:val="clear" w:color="auto" w:fill="auto"/>
            <w:noWrap/>
            <w:vAlign w:val="bottom"/>
            <w:hideMark/>
          </w:tcPr>
          <w:p w:rsidR="00D53A9A" w:rsidRPr="00B638CF" w:rsidRDefault="00D53A9A" w:rsidP="000B2994">
            <w:pPr>
              <w:pStyle w:val="TableData"/>
              <w:spacing w:before="0" w:after="0"/>
              <w:rPr>
                <w:sz w:val="16"/>
              </w:rPr>
            </w:pPr>
            <w:r w:rsidRPr="00D53A9A">
              <w:rPr>
                <w:sz w:val="16"/>
              </w:rPr>
              <w:t>Cloverland Electric Cooperative</w:t>
            </w:r>
          </w:p>
        </w:tc>
        <w:tc>
          <w:tcPr>
            <w:tcW w:w="432" w:type="dxa"/>
            <w:tcBorders>
              <w:top w:val="nil"/>
              <w:left w:val="nil"/>
              <w:bottom w:val="nil"/>
              <w:right w:val="nil"/>
            </w:tcBorders>
            <w:shd w:val="clear" w:color="auto" w:fill="auto"/>
            <w:noWrap/>
            <w:vAlign w:val="bottom"/>
            <w:hideMark/>
          </w:tcPr>
          <w:p w:rsidR="00D53A9A" w:rsidRPr="00B638CF" w:rsidRDefault="00D53A9A" w:rsidP="000B2994">
            <w:pPr>
              <w:pStyle w:val="TableData"/>
              <w:spacing w:before="0" w:after="0"/>
              <w:rPr>
                <w:sz w:val="16"/>
              </w:rPr>
            </w:pPr>
            <w:r w:rsidRPr="00B638CF">
              <w:rPr>
                <w:sz w:val="16"/>
              </w:rPr>
              <w:t>N</w:t>
            </w:r>
          </w:p>
        </w:tc>
        <w:tc>
          <w:tcPr>
            <w:tcW w:w="4176" w:type="dxa"/>
            <w:tcBorders>
              <w:top w:val="nil"/>
              <w:left w:val="nil"/>
              <w:bottom w:val="nil"/>
              <w:right w:val="nil"/>
            </w:tcBorders>
            <w:shd w:val="clear" w:color="auto" w:fill="auto"/>
            <w:noWrap/>
            <w:vAlign w:val="bottom"/>
            <w:hideMark/>
          </w:tcPr>
          <w:p w:rsidR="00D53A9A" w:rsidRPr="00B638CF" w:rsidRDefault="00D53A9A" w:rsidP="000B2994">
            <w:pPr>
              <w:pStyle w:val="TableData"/>
              <w:spacing w:before="0" w:after="0"/>
              <w:rPr>
                <w:sz w:val="16"/>
              </w:rPr>
            </w:pPr>
            <w:r w:rsidRPr="00D53A9A">
              <w:rPr>
                <w:sz w:val="16"/>
              </w:rPr>
              <w:t>Ontonagon County Rural Electrification Association</w:t>
            </w:r>
          </w:p>
        </w:tc>
      </w:tr>
      <w:tr w:rsidR="00D53A9A" w:rsidRPr="00ED0CBB" w:rsidTr="00871105">
        <w:trPr>
          <w:trHeight w:val="20"/>
        </w:trPr>
        <w:tc>
          <w:tcPr>
            <w:tcW w:w="432" w:type="dxa"/>
            <w:tcBorders>
              <w:top w:val="nil"/>
              <w:left w:val="nil"/>
              <w:bottom w:val="nil"/>
              <w:right w:val="nil"/>
            </w:tcBorders>
            <w:shd w:val="clear" w:color="auto" w:fill="auto"/>
            <w:noWrap/>
            <w:vAlign w:val="bottom"/>
            <w:hideMark/>
          </w:tcPr>
          <w:p w:rsidR="00D53A9A" w:rsidRPr="00B638CF" w:rsidRDefault="00D53A9A" w:rsidP="00D53A9A">
            <w:pPr>
              <w:pStyle w:val="TableData"/>
              <w:rPr>
                <w:sz w:val="16"/>
              </w:rPr>
            </w:pPr>
            <w:r w:rsidRPr="00B638CF">
              <w:rPr>
                <w:sz w:val="16"/>
              </w:rPr>
              <w:t>E</w:t>
            </w:r>
          </w:p>
        </w:tc>
        <w:tc>
          <w:tcPr>
            <w:tcW w:w="4320" w:type="dxa"/>
            <w:tcBorders>
              <w:top w:val="nil"/>
              <w:left w:val="nil"/>
              <w:bottom w:val="nil"/>
              <w:right w:val="nil"/>
            </w:tcBorders>
            <w:shd w:val="clear" w:color="auto" w:fill="auto"/>
            <w:noWrap/>
            <w:vAlign w:val="bottom"/>
            <w:hideMark/>
          </w:tcPr>
          <w:p w:rsidR="00D53A9A" w:rsidRPr="00B638CF" w:rsidRDefault="00D53A9A" w:rsidP="000B2994">
            <w:pPr>
              <w:pStyle w:val="TableData"/>
              <w:spacing w:before="0" w:after="0"/>
              <w:rPr>
                <w:sz w:val="16"/>
              </w:rPr>
            </w:pPr>
            <w:r w:rsidRPr="00D53A9A">
              <w:rPr>
                <w:sz w:val="16"/>
              </w:rPr>
              <w:t xml:space="preserve">City of Crystal Falls </w:t>
            </w:r>
          </w:p>
        </w:tc>
        <w:tc>
          <w:tcPr>
            <w:tcW w:w="432" w:type="dxa"/>
            <w:tcBorders>
              <w:top w:val="nil"/>
              <w:left w:val="nil"/>
              <w:bottom w:val="nil"/>
              <w:right w:val="nil"/>
            </w:tcBorders>
            <w:shd w:val="clear" w:color="auto" w:fill="auto"/>
            <w:noWrap/>
            <w:vAlign w:val="bottom"/>
            <w:hideMark/>
          </w:tcPr>
          <w:p w:rsidR="00D53A9A" w:rsidRPr="00B638CF" w:rsidRDefault="00D53A9A" w:rsidP="000B2994">
            <w:pPr>
              <w:pStyle w:val="TableData"/>
              <w:spacing w:before="0" w:after="0"/>
              <w:rPr>
                <w:sz w:val="16"/>
              </w:rPr>
            </w:pPr>
            <w:r w:rsidRPr="00B638CF">
              <w:rPr>
                <w:sz w:val="16"/>
              </w:rPr>
              <w:t>O</w:t>
            </w:r>
          </w:p>
        </w:tc>
        <w:tc>
          <w:tcPr>
            <w:tcW w:w="4176" w:type="dxa"/>
            <w:tcBorders>
              <w:top w:val="nil"/>
              <w:left w:val="nil"/>
              <w:bottom w:val="nil"/>
              <w:right w:val="nil"/>
            </w:tcBorders>
            <w:shd w:val="clear" w:color="auto" w:fill="auto"/>
            <w:noWrap/>
            <w:vAlign w:val="bottom"/>
            <w:hideMark/>
          </w:tcPr>
          <w:p w:rsidR="00D53A9A" w:rsidRPr="00B638CF" w:rsidRDefault="00D53A9A" w:rsidP="000B2994">
            <w:pPr>
              <w:pStyle w:val="TableData"/>
              <w:spacing w:before="0" w:after="0"/>
              <w:rPr>
                <w:sz w:val="16"/>
              </w:rPr>
            </w:pPr>
            <w:r w:rsidRPr="00D53A9A">
              <w:rPr>
                <w:sz w:val="16"/>
              </w:rPr>
              <w:t>City of Stephenson</w:t>
            </w:r>
          </w:p>
        </w:tc>
      </w:tr>
      <w:tr w:rsidR="00D53A9A" w:rsidRPr="00ED0CBB" w:rsidTr="00871105">
        <w:trPr>
          <w:trHeight w:val="20"/>
        </w:trPr>
        <w:tc>
          <w:tcPr>
            <w:tcW w:w="432" w:type="dxa"/>
            <w:tcBorders>
              <w:top w:val="nil"/>
              <w:left w:val="nil"/>
              <w:bottom w:val="nil"/>
              <w:right w:val="nil"/>
            </w:tcBorders>
            <w:shd w:val="clear" w:color="auto" w:fill="auto"/>
            <w:noWrap/>
            <w:vAlign w:val="bottom"/>
            <w:hideMark/>
          </w:tcPr>
          <w:p w:rsidR="00D53A9A" w:rsidRPr="00B638CF" w:rsidRDefault="00D53A9A" w:rsidP="00D53A9A">
            <w:pPr>
              <w:pStyle w:val="TableData"/>
              <w:rPr>
                <w:sz w:val="16"/>
              </w:rPr>
            </w:pPr>
            <w:r w:rsidRPr="00B638CF">
              <w:rPr>
                <w:sz w:val="16"/>
              </w:rPr>
              <w:t>F</w:t>
            </w:r>
          </w:p>
        </w:tc>
        <w:tc>
          <w:tcPr>
            <w:tcW w:w="4320" w:type="dxa"/>
            <w:tcBorders>
              <w:top w:val="nil"/>
              <w:left w:val="nil"/>
              <w:bottom w:val="nil"/>
              <w:right w:val="nil"/>
            </w:tcBorders>
            <w:shd w:val="clear" w:color="auto" w:fill="auto"/>
            <w:noWrap/>
            <w:vAlign w:val="bottom"/>
            <w:hideMark/>
          </w:tcPr>
          <w:p w:rsidR="00D53A9A" w:rsidRPr="00B638CF" w:rsidRDefault="00D53A9A" w:rsidP="000B2994">
            <w:pPr>
              <w:pStyle w:val="TableData"/>
              <w:spacing w:before="0" w:after="0"/>
              <w:rPr>
                <w:sz w:val="16"/>
              </w:rPr>
            </w:pPr>
            <w:r w:rsidRPr="00D53A9A">
              <w:rPr>
                <w:sz w:val="16"/>
              </w:rPr>
              <w:t>Daggett Electric Department</w:t>
            </w:r>
          </w:p>
        </w:tc>
        <w:tc>
          <w:tcPr>
            <w:tcW w:w="432" w:type="dxa"/>
            <w:tcBorders>
              <w:top w:val="nil"/>
              <w:left w:val="nil"/>
              <w:bottom w:val="nil"/>
              <w:right w:val="nil"/>
            </w:tcBorders>
            <w:shd w:val="clear" w:color="auto" w:fill="auto"/>
            <w:noWrap/>
            <w:vAlign w:val="bottom"/>
            <w:hideMark/>
          </w:tcPr>
          <w:p w:rsidR="00D53A9A" w:rsidRPr="00B638CF" w:rsidRDefault="00D53A9A" w:rsidP="000B2994">
            <w:pPr>
              <w:pStyle w:val="TableData"/>
              <w:spacing w:before="0" w:after="0"/>
              <w:rPr>
                <w:sz w:val="16"/>
              </w:rPr>
            </w:pPr>
            <w:r w:rsidRPr="00B638CF">
              <w:rPr>
                <w:sz w:val="16"/>
              </w:rPr>
              <w:t>P</w:t>
            </w:r>
          </w:p>
        </w:tc>
        <w:tc>
          <w:tcPr>
            <w:tcW w:w="4176" w:type="dxa"/>
            <w:tcBorders>
              <w:top w:val="nil"/>
              <w:left w:val="nil"/>
              <w:bottom w:val="nil"/>
              <w:right w:val="nil"/>
            </w:tcBorders>
            <w:shd w:val="clear" w:color="auto" w:fill="auto"/>
            <w:noWrap/>
            <w:vAlign w:val="bottom"/>
            <w:hideMark/>
          </w:tcPr>
          <w:p w:rsidR="00D53A9A" w:rsidRPr="00B638CF" w:rsidRDefault="00D53A9A" w:rsidP="000B2994">
            <w:pPr>
              <w:pStyle w:val="TableData"/>
              <w:spacing w:before="0" w:after="0"/>
              <w:rPr>
                <w:sz w:val="16"/>
              </w:rPr>
            </w:pPr>
            <w:r w:rsidRPr="00D53A9A">
              <w:rPr>
                <w:sz w:val="16"/>
              </w:rPr>
              <w:t>Upper Peninsula Power Company</w:t>
            </w:r>
          </w:p>
        </w:tc>
      </w:tr>
      <w:tr w:rsidR="00D53A9A" w:rsidRPr="00ED0CBB" w:rsidTr="00871105">
        <w:trPr>
          <w:trHeight w:val="20"/>
        </w:trPr>
        <w:tc>
          <w:tcPr>
            <w:tcW w:w="432" w:type="dxa"/>
            <w:tcBorders>
              <w:top w:val="nil"/>
              <w:left w:val="nil"/>
              <w:bottom w:val="nil"/>
              <w:right w:val="nil"/>
            </w:tcBorders>
            <w:shd w:val="clear" w:color="auto" w:fill="auto"/>
            <w:noWrap/>
            <w:vAlign w:val="bottom"/>
            <w:hideMark/>
          </w:tcPr>
          <w:p w:rsidR="00D53A9A" w:rsidRPr="00B638CF" w:rsidRDefault="00D53A9A" w:rsidP="00D53A9A">
            <w:pPr>
              <w:pStyle w:val="TableData"/>
              <w:rPr>
                <w:sz w:val="16"/>
              </w:rPr>
            </w:pPr>
            <w:r w:rsidRPr="00B638CF">
              <w:rPr>
                <w:sz w:val="16"/>
              </w:rPr>
              <w:t>G</w:t>
            </w:r>
          </w:p>
        </w:tc>
        <w:tc>
          <w:tcPr>
            <w:tcW w:w="4320" w:type="dxa"/>
            <w:tcBorders>
              <w:top w:val="nil"/>
              <w:left w:val="nil"/>
              <w:bottom w:val="nil"/>
              <w:right w:val="nil"/>
            </w:tcBorders>
            <w:shd w:val="clear" w:color="auto" w:fill="auto"/>
            <w:noWrap/>
            <w:vAlign w:val="bottom"/>
            <w:hideMark/>
          </w:tcPr>
          <w:p w:rsidR="00D53A9A" w:rsidRPr="00B638CF" w:rsidRDefault="00D53A9A" w:rsidP="000B2994">
            <w:pPr>
              <w:pStyle w:val="TableData"/>
              <w:spacing w:before="0" w:after="0"/>
              <w:rPr>
                <w:sz w:val="16"/>
              </w:rPr>
            </w:pPr>
            <w:r w:rsidRPr="00D53A9A">
              <w:rPr>
                <w:sz w:val="16"/>
              </w:rPr>
              <w:t xml:space="preserve">City of Escanaba </w:t>
            </w:r>
          </w:p>
        </w:tc>
        <w:tc>
          <w:tcPr>
            <w:tcW w:w="432" w:type="dxa"/>
            <w:tcBorders>
              <w:top w:val="nil"/>
              <w:left w:val="nil"/>
              <w:bottom w:val="nil"/>
              <w:right w:val="nil"/>
            </w:tcBorders>
            <w:shd w:val="clear" w:color="auto" w:fill="auto"/>
            <w:noWrap/>
            <w:vAlign w:val="bottom"/>
            <w:hideMark/>
          </w:tcPr>
          <w:p w:rsidR="00D53A9A" w:rsidRPr="00B638CF" w:rsidRDefault="00D53A9A" w:rsidP="000B2994">
            <w:pPr>
              <w:pStyle w:val="TableData"/>
              <w:spacing w:before="0" w:after="0"/>
              <w:rPr>
                <w:sz w:val="16"/>
              </w:rPr>
            </w:pPr>
            <w:r w:rsidRPr="00B638CF">
              <w:rPr>
                <w:sz w:val="16"/>
              </w:rPr>
              <w:t>Q</w:t>
            </w:r>
          </w:p>
        </w:tc>
        <w:tc>
          <w:tcPr>
            <w:tcW w:w="4176" w:type="dxa"/>
            <w:tcBorders>
              <w:top w:val="nil"/>
              <w:left w:val="nil"/>
              <w:bottom w:val="nil"/>
              <w:right w:val="nil"/>
            </w:tcBorders>
            <w:shd w:val="clear" w:color="auto" w:fill="auto"/>
            <w:noWrap/>
            <w:vAlign w:val="bottom"/>
            <w:hideMark/>
          </w:tcPr>
          <w:p w:rsidR="00D53A9A" w:rsidRPr="00B638CF" w:rsidRDefault="00D53A9A" w:rsidP="000B2994">
            <w:pPr>
              <w:pStyle w:val="TableData"/>
              <w:spacing w:before="0" w:after="0"/>
              <w:rPr>
                <w:sz w:val="16"/>
              </w:rPr>
            </w:pPr>
            <w:r w:rsidRPr="00D53A9A">
              <w:rPr>
                <w:sz w:val="16"/>
              </w:rPr>
              <w:t>City of Wakefield</w:t>
            </w:r>
          </w:p>
        </w:tc>
      </w:tr>
      <w:tr w:rsidR="00D53A9A" w:rsidRPr="00ED0CBB" w:rsidTr="00871105">
        <w:trPr>
          <w:trHeight w:val="20"/>
        </w:trPr>
        <w:tc>
          <w:tcPr>
            <w:tcW w:w="432" w:type="dxa"/>
            <w:tcBorders>
              <w:top w:val="nil"/>
              <w:left w:val="nil"/>
              <w:bottom w:val="nil"/>
              <w:right w:val="nil"/>
            </w:tcBorders>
            <w:shd w:val="clear" w:color="auto" w:fill="auto"/>
            <w:noWrap/>
            <w:vAlign w:val="bottom"/>
            <w:hideMark/>
          </w:tcPr>
          <w:p w:rsidR="00D53A9A" w:rsidRPr="00B638CF" w:rsidRDefault="00D53A9A" w:rsidP="00D53A9A">
            <w:pPr>
              <w:pStyle w:val="TableData"/>
              <w:rPr>
                <w:sz w:val="16"/>
              </w:rPr>
            </w:pPr>
            <w:r w:rsidRPr="00B638CF">
              <w:rPr>
                <w:sz w:val="16"/>
              </w:rPr>
              <w:t>H</w:t>
            </w:r>
          </w:p>
        </w:tc>
        <w:tc>
          <w:tcPr>
            <w:tcW w:w="4320" w:type="dxa"/>
            <w:tcBorders>
              <w:top w:val="nil"/>
              <w:left w:val="nil"/>
              <w:bottom w:val="nil"/>
              <w:right w:val="nil"/>
            </w:tcBorders>
            <w:shd w:val="clear" w:color="auto" w:fill="auto"/>
            <w:noWrap/>
            <w:vAlign w:val="bottom"/>
            <w:hideMark/>
          </w:tcPr>
          <w:p w:rsidR="00D53A9A" w:rsidRPr="00B638CF" w:rsidRDefault="00D53A9A" w:rsidP="000B2994">
            <w:pPr>
              <w:pStyle w:val="TableData"/>
              <w:spacing w:before="0" w:after="0"/>
              <w:rPr>
                <w:sz w:val="16"/>
              </w:rPr>
            </w:pPr>
            <w:r w:rsidRPr="00D53A9A">
              <w:rPr>
                <w:sz w:val="16"/>
              </w:rPr>
              <w:t>City of Gladstone</w:t>
            </w:r>
          </w:p>
        </w:tc>
        <w:tc>
          <w:tcPr>
            <w:tcW w:w="432" w:type="dxa"/>
            <w:tcBorders>
              <w:top w:val="nil"/>
              <w:left w:val="nil"/>
              <w:bottom w:val="nil"/>
              <w:right w:val="nil"/>
            </w:tcBorders>
            <w:shd w:val="clear" w:color="auto" w:fill="auto"/>
            <w:noWrap/>
            <w:vAlign w:val="bottom"/>
            <w:hideMark/>
          </w:tcPr>
          <w:p w:rsidR="00D53A9A" w:rsidRPr="00B638CF" w:rsidRDefault="00D53A9A" w:rsidP="000B2994">
            <w:pPr>
              <w:pStyle w:val="TableData"/>
              <w:spacing w:before="0" w:after="0"/>
              <w:rPr>
                <w:sz w:val="16"/>
              </w:rPr>
            </w:pPr>
            <w:r w:rsidRPr="00B638CF">
              <w:rPr>
                <w:sz w:val="16"/>
              </w:rPr>
              <w:t>R</w:t>
            </w:r>
          </w:p>
        </w:tc>
        <w:tc>
          <w:tcPr>
            <w:tcW w:w="4176" w:type="dxa"/>
            <w:tcBorders>
              <w:top w:val="nil"/>
              <w:left w:val="nil"/>
              <w:bottom w:val="nil"/>
              <w:right w:val="nil"/>
            </w:tcBorders>
            <w:shd w:val="clear" w:color="auto" w:fill="auto"/>
            <w:noWrap/>
            <w:vAlign w:val="bottom"/>
            <w:hideMark/>
          </w:tcPr>
          <w:p w:rsidR="00D53A9A" w:rsidRPr="00B638CF" w:rsidRDefault="00D53A9A" w:rsidP="000B2994">
            <w:pPr>
              <w:pStyle w:val="TableData"/>
              <w:spacing w:before="0" w:after="0"/>
              <w:rPr>
                <w:sz w:val="16"/>
              </w:rPr>
            </w:pPr>
            <w:r w:rsidRPr="00D53A9A">
              <w:rPr>
                <w:sz w:val="16"/>
              </w:rPr>
              <w:t>Wisconsin Electric Power Company*</w:t>
            </w:r>
          </w:p>
        </w:tc>
      </w:tr>
      <w:tr w:rsidR="00D53A9A" w:rsidRPr="00ED0CBB" w:rsidTr="00871105">
        <w:trPr>
          <w:trHeight w:val="20"/>
        </w:trPr>
        <w:tc>
          <w:tcPr>
            <w:tcW w:w="432" w:type="dxa"/>
            <w:tcBorders>
              <w:top w:val="nil"/>
              <w:left w:val="nil"/>
              <w:bottom w:val="nil"/>
              <w:right w:val="nil"/>
            </w:tcBorders>
            <w:shd w:val="clear" w:color="auto" w:fill="auto"/>
            <w:noWrap/>
            <w:vAlign w:val="bottom"/>
            <w:hideMark/>
          </w:tcPr>
          <w:p w:rsidR="00D53A9A" w:rsidRPr="00B638CF" w:rsidRDefault="00D53A9A" w:rsidP="00D53A9A">
            <w:pPr>
              <w:pStyle w:val="TableData"/>
              <w:rPr>
                <w:sz w:val="16"/>
              </w:rPr>
            </w:pPr>
            <w:r w:rsidRPr="00B638CF">
              <w:rPr>
                <w:sz w:val="16"/>
              </w:rPr>
              <w:t>I</w:t>
            </w:r>
          </w:p>
        </w:tc>
        <w:tc>
          <w:tcPr>
            <w:tcW w:w="4320" w:type="dxa"/>
            <w:tcBorders>
              <w:top w:val="nil"/>
              <w:left w:val="nil"/>
              <w:bottom w:val="nil"/>
              <w:right w:val="nil"/>
            </w:tcBorders>
            <w:shd w:val="clear" w:color="auto" w:fill="auto"/>
            <w:noWrap/>
            <w:vAlign w:val="bottom"/>
            <w:hideMark/>
          </w:tcPr>
          <w:p w:rsidR="00D53A9A" w:rsidRPr="00B638CF" w:rsidRDefault="00D53A9A" w:rsidP="000B2994">
            <w:pPr>
              <w:pStyle w:val="TableData"/>
              <w:spacing w:before="0" w:after="0"/>
              <w:rPr>
                <w:sz w:val="16"/>
              </w:rPr>
            </w:pPr>
            <w:r w:rsidRPr="00D53A9A">
              <w:rPr>
                <w:sz w:val="16"/>
              </w:rPr>
              <w:t>Village of L'Anse</w:t>
            </w:r>
          </w:p>
        </w:tc>
        <w:tc>
          <w:tcPr>
            <w:tcW w:w="432" w:type="dxa"/>
            <w:tcBorders>
              <w:top w:val="nil"/>
              <w:left w:val="nil"/>
              <w:bottom w:val="nil"/>
              <w:right w:val="nil"/>
            </w:tcBorders>
            <w:shd w:val="clear" w:color="auto" w:fill="auto"/>
            <w:noWrap/>
            <w:vAlign w:val="bottom"/>
            <w:hideMark/>
          </w:tcPr>
          <w:p w:rsidR="00D53A9A" w:rsidRPr="00B638CF" w:rsidRDefault="00D53A9A" w:rsidP="000B2994">
            <w:pPr>
              <w:pStyle w:val="TableData"/>
              <w:spacing w:before="0" w:after="0"/>
              <w:rPr>
                <w:sz w:val="16"/>
              </w:rPr>
            </w:pPr>
            <w:r>
              <w:rPr>
                <w:sz w:val="16"/>
              </w:rPr>
              <w:t>S</w:t>
            </w:r>
          </w:p>
        </w:tc>
        <w:tc>
          <w:tcPr>
            <w:tcW w:w="4176" w:type="dxa"/>
            <w:tcBorders>
              <w:top w:val="nil"/>
              <w:left w:val="nil"/>
              <w:bottom w:val="nil"/>
              <w:right w:val="nil"/>
            </w:tcBorders>
            <w:shd w:val="clear" w:color="auto" w:fill="auto"/>
            <w:noWrap/>
            <w:vAlign w:val="bottom"/>
            <w:hideMark/>
          </w:tcPr>
          <w:p w:rsidR="00D53A9A" w:rsidRPr="00B638CF" w:rsidRDefault="00D53A9A" w:rsidP="000B2994">
            <w:pPr>
              <w:pStyle w:val="TableData"/>
              <w:spacing w:before="0" w:after="0"/>
              <w:rPr>
                <w:sz w:val="16"/>
              </w:rPr>
            </w:pPr>
            <w:r w:rsidRPr="00D53A9A">
              <w:rPr>
                <w:sz w:val="16"/>
              </w:rPr>
              <w:t>Wisconsin Public Service Corporation*</w:t>
            </w:r>
          </w:p>
        </w:tc>
      </w:tr>
      <w:tr w:rsidR="00D53A9A" w:rsidRPr="00ED0CBB" w:rsidTr="00871105">
        <w:trPr>
          <w:trHeight w:val="20"/>
        </w:trPr>
        <w:tc>
          <w:tcPr>
            <w:tcW w:w="432" w:type="dxa"/>
            <w:tcBorders>
              <w:top w:val="nil"/>
              <w:left w:val="nil"/>
              <w:bottom w:val="nil"/>
              <w:right w:val="nil"/>
            </w:tcBorders>
            <w:shd w:val="clear" w:color="auto" w:fill="auto"/>
            <w:noWrap/>
            <w:vAlign w:val="bottom"/>
          </w:tcPr>
          <w:p w:rsidR="00D53A9A" w:rsidRPr="00B638CF" w:rsidRDefault="00D53A9A" w:rsidP="00D53A9A">
            <w:pPr>
              <w:pStyle w:val="TableData"/>
              <w:rPr>
                <w:sz w:val="16"/>
              </w:rPr>
            </w:pPr>
            <w:r>
              <w:rPr>
                <w:sz w:val="16"/>
              </w:rPr>
              <w:t>J</w:t>
            </w:r>
          </w:p>
        </w:tc>
        <w:tc>
          <w:tcPr>
            <w:tcW w:w="4320" w:type="dxa"/>
            <w:tcBorders>
              <w:top w:val="nil"/>
              <w:left w:val="nil"/>
              <w:bottom w:val="nil"/>
              <w:right w:val="nil"/>
            </w:tcBorders>
            <w:shd w:val="clear" w:color="auto" w:fill="auto"/>
            <w:noWrap/>
            <w:vAlign w:val="bottom"/>
          </w:tcPr>
          <w:p w:rsidR="00D53A9A" w:rsidRPr="00B638CF" w:rsidRDefault="00D53A9A" w:rsidP="000B2994">
            <w:pPr>
              <w:pStyle w:val="TableData"/>
              <w:spacing w:before="0" w:after="0"/>
              <w:rPr>
                <w:sz w:val="16"/>
              </w:rPr>
            </w:pPr>
            <w:r w:rsidRPr="00D53A9A">
              <w:rPr>
                <w:sz w:val="16"/>
              </w:rPr>
              <w:t>Marquette Board of Light and Power</w:t>
            </w:r>
          </w:p>
        </w:tc>
        <w:tc>
          <w:tcPr>
            <w:tcW w:w="432" w:type="dxa"/>
            <w:tcBorders>
              <w:top w:val="nil"/>
              <w:left w:val="nil"/>
              <w:bottom w:val="nil"/>
              <w:right w:val="nil"/>
            </w:tcBorders>
            <w:shd w:val="clear" w:color="auto" w:fill="auto"/>
            <w:noWrap/>
            <w:vAlign w:val="bottom"/>
          </w:tcPr>
          <w:p w:rsidR="00D53A9A" w:rsidRPr="00B638CF" w:rsidRDefault="00D53A9A" w:rsidP="000B2994">
            <w:pPr>
              <w:pStyle w:val="TableData"/>
              <w:spacing w:before="0" w:after="0"/>
              <w:rPr>
                <w:sz w:val="16"/>
              </w:rPr>
            </w:pPr>
            <w:r>
              <w:rPr>
                <w:sz w:val="16"/>
              </w:rPr>
              <w:t>T</w:t>
            </w:r>
          </w:p>
        </w:tc>
        <w:tc>
          <w:tcPr>
            <w:tcW w:w="4176" w:type="dxa"/>
            <w:tcBorders>
              <w:top w:val="nil"/>
              <w:left w:val="nil"/>
              <w:bottom w:val="nil"/>
              <w:right w:val="nil"/>
            </w:tcBorders>
            <w:shd w:val="clear" w:color="auto" w:fill="auto"/>
            <w:noWrap/>
            <w:vAlign w:val="bottom"/>
          </w:tcPr>
          <w:p w:rsidR="00D53A9A" w:rsidRPr="00B638CF" w:rsidRDefault="00D53A9A" w:rsidP="000B2994">
            <w:pPr>
              <w:pStyle w:val="TableData"/>
              <w:spacing w:before="0" w:after="0"/>
              <w:rPr>
                <w:sz w:val="16"/>
              </w:rPr>
            </w:pPr>
            <w:r w:rsidRPr="00D53A9A">
              <w:rPr>
                <w:sz w:val="16"/>
              </w:rPr>
              <w:t>Xcel Energy**</w:t>
            </w:r>
          </w:p>
        </w:tc>
      </w:tr>
    </w:tbl>
    <w:bookmarkEnd w:id="7"/>
    <w:p w:rsidR="00D53A9A" w:rsidRPr="00D53A9A" w:rsidRDefault="00EB03E8" w:rsidP="00D53A9A">
      <w:pPr>
        <w:pStyle w:val="ExhibitSource"/>
      </w:pPr>
      <w:r w:rsidRPr="00EB03E8">
        <w:t>Sources: Efficiency UNITED.</w:t>
      </w:r>
      <w:r w:rsidR="007F20E3">
        <w:t xml:space="preserve"> </w:t>
      </w:r>
      <w:r w:rsidR="004420CB">
        <w:t>n.d</w:t>
      </w:r>
      <w:r w:rsidR="004420CB" w:rsidRPr="0010738F">
        <w:t>.</w:t>
      </w:r>
      <w:r w:rsidRPr="0010738F">
        <w:t xml:space="preserve"> </w:t>
      </w:r>
      <w:r w:rsidRPr="00EB03E8">
        <w:rPr>
          <w:i/>
          <w:iCs/>
        </w:rPr>
        <w:t>2016 Annual Report</w:t>
      </w:r>
      <w:r w:rsidRPr="00EB03E8">
        <w:t xml:space="preserve">. </w:t>
      </w:r>
      <w:r w:rsidR="007F20E3">
        <w:t>Accessed February 1, 201</w:t>
      </w:r>
      <w:r w:rsidR="00EF0D63">
        <w:t>8</w:t>
      </w:r>
      <w:r w:rsidR="007F20E3">
        <w:t xml:space="preserve">. </w:t>
      </w:r>
      <w:hyperlink r:id="rId18" w:history="1">
        <w:r w:rsidR="007F20E3" w:rsidRPr="002A0219">
          <w:rPr>
            <w:rStyle w:val="Hyperlink"/>
          </w:rPr>
          <w:t>https://www.michigan.gov/mpsc/0,4639,7-159-52495_53472_53476-292333--,00.html</w:t>
        </w:r>
      </w:hyperlink>
      <w:r w:rsidR="0037147A">
        <w:t xml:space="preserve">; </w:t>
      </w:r>
      <w:r w:rsidRPr="00EB03E8">
        <w:t xml:space="preserve">Michigan Electric Cooperative Association. June 30, 2017. </w:t>
      </w:r>
      <w:r w:rsidRPr="0010738F">
        <w:rPr>
          <w:i/>
        </w:rPr>
        <w:t>Collaborative</w:t>
      </w:r>
      <w:r w:rsidRPr="00EB03E8">
        <w:rPr>
          <w:i/>
          <w:iCs/>
        </w:rPr>
        <w:t xml:space="preserve"> Energy Optimization Annual Report for 2016</w:t>
      </w:r>
      <w:r w:rsidRPr="0010738F">
        <w:t>.</w:t>
      </w:r>
      <w:r w:rsidRPr="00EB03E8">
        <w:t xml:space="preserve"> Lansing: Michigan Electric Cooperative Association. </w:t>
      </w:r>
      <w:r w:rsidR="00D53A9A">
        <w:br/>
      </w:r>
      <w:r w:rsidR="00D53A9A" w:rsidRPr="00D53A9A">
        <w:t>* Now operating as Upper Michigan Energy Resources Corporation (UMERC)</w:t>
      </w:r>
    </w:p>
    <w:p w:rsidR="00D53A9A" w:rsidRPr="00D53A9A" w:rsidRDefault="00D53A9A" w:rsidP="00D53A9A">
      <w:pPr>
        <w:pStyle w:val="ExhibitSource"/>
      </w:pPr>
      <w:r w:rsidRPr="00D53A9A">
        <w:t>** Formerly Northern States Power Company—Wisconsin</w:t>
      </w:r>
    </w:p>
    <w:p w:rsidR="009E3A07" w:rsidRDefault="000C2127" w:rsidP="00116097">
      <w:pPr>
        <w:pStyle w:val="BodyText"/>
      </w:pPr>
      <w:r>
        <w:lastRenderedPageBreak/>
        <w:t>Efficiency UNITED</w:t>
      </w:r>
      <w:r w:rsidR="009E3A07">
        <w:t xml:space="preserve"> delivers gas programs for Wisconsin Public Service </w:t>
      </w:r>
      <w:r w:rsidR="00CB6106">
        <w:t xml:space="preserve">and Xcel Energy </w:t>
      </w:r>
      <w:r w:rsidR="007D1313">
        <w:t xml:space="preserve">as the statewide administrator </w:t>
      </w:r>
      <w:r w:rsidR="00CB6106">
        <w:t>and contracts directly with SEMCO</w:t>
      </w:r>
      <w:r w:rsidR="00C2463C">
        <w:t xml:space="preserve"> Energy</w:t>
      </w:r>
      <w:r w:rsidR="00CB6106">
        <w:t xml:space="preserve">. </w:t>
      </w:r>
      <w:r>
        <w:t>Efficiency UNITED</w:t>
      </w:r>
      <w:r w:rsidR="00CB6106">
        <w:t xml:space="preserve"> reports on savings achievement for utilities opting to utilize the statewide administration. SEMCO</w:t>
      </w:r>
      <w:r w:rsidR="00C2463C">
        <w:t xml:space="preserve"> Energy</w:t>
      </w:r>
      <w:r w:rsidR="00CB6106">
        <w:t xml:space="preserve"> and DTE Energy</w:t>
      </w:r>
      <w:r w:rsidR="007D1313">
        <w:t xml:space="preserve"> </w:t>
      </w:r>
      <w:r w:rsidR="00CB6106">
        <w:t xml:space="preserve">report </w:t>
      </w:r>
      <w:r w:rsidR="000451BC">
        <w:t>their</w:t>
      </w:r>
      <w:r w:rsidR="00CB6106">
        <w:t xml:space="preserve"> savings </w:t>
      </w:r>
      <w:r w:rsidR="000451BC">
        <w:t>at a statewide level. At the request of the MPSC, both SEMCO</w:t>
      </w:r>
      <w:r w:rsidR="00C2463C">
        <w:t xml:space="preserve"> Energy</w:t>
      </w:r>
      <w:r w:rsidR="000451BC">
        <w:t xml:space="preserve"> and DTE </w:t>
      </w:r>
      <w:r w:rsidR="00C2463C">
        <w:t xml:space="preserve">Energy </w:t>
      </w:r>
      <w:r w:rsidR="000451BC">
        <w:t xml:space="preserve">provided total natural gas sales and savings achieved in their U.P. service areas. </w:t>
      </w:r>
      <w:r w:rsidR="00370D51">
        <w:fldChar w:fldCharType="begin"/>
      </w:r>
      <w:r w:rsidR="00C2463C">
        <w:instrText xml:space="preserve"> REF _Ref514011282 \h </w:instrText>
      </w:r>
      <w:r w:rsidR="00370D51">
        <w:fldChar w:fldCharType="separate"/>
      </w:r>
      <w:r w:rsidR="005D34DF">
        <w:t xml:space="preserve">Exhibit </w:t>
      </w:r>
      <w:r w:rsidR="005D34DF">
        <w:rPr>
          <w:noProof/>
        </w:rPr>
        <w:t>2</w:t>
      </w:r>
      <w:r w:rsidR="00370D51">
        <w:fldChar w:fldCharType="end"/>
      </w:r>
      <w:r w:rsidR="00C2463C">
        <w:t xml:space="preserve"> shows the targets and report</w:t>
      </w:r>
      <w:r w:rsidR="00B772DA">
        <w:t>ed</w:t>
      </w:r>
      <w:r w:rsidR="00C2463C">
        <w:t xml:space="preserve"> </w:t>
      </w:r>
      <w:r w:rsidR="00C105F7">
        <w:t>customer</w:t>
      </w:r>
      <w:r w:rsidR="00C2463C">
        <w:t xml:space="preserve"> savings </w:t>
      </w:r>
      <w:r w:rsidR="00E726F1">
        <w:t xml:space="preserve">in </w:t>
      </w:r>
      <w:r w:rsidR="00080D29">
        <w:t>hundreds</w:t>
      </w:r>
      <w:r w:rsidR="00E726F1">
        <w:t xml:space="preserve"> </w:t>
      </w:r>
      <w:r w:rsidR="00080D29">
        <w:t xml:space="preserve">of </w:t>
      </w:r>
      <w:r w:rsidR="00E726F1">
        <w:t>cubic feet (</w:t>
      </w:r>
      <w:proofErr w:type="gramStart"/>
      <w:r w:rsidR="00E726F1">
        <w:t>Ccf</w:t>
      </w:r>
      <w:proofErr w:type="gramEnd"/>
      <w:r w:rsidR="00E726F1">
        <w:t xml:space="preserve">) </w:t>
      </w:r>
      <w:r w:rsidR="00C2463C">
        <w:t>for the natural gas utilities in the U.P.</w:t>
      </w:r>
      <w:r w:rsidR="00C2463C">
        <w:rPr>
          <w:rStyle w:val="FootnoteReference"/>
        </w:rPr>
        <w:footnoteReference w:id="7"/>
      </w:r>
      <w:r w:rsidR="00C2463C">
        <w:t xml:space="preserve"> </w:t>
      </w:r>
      <w:r w:rsidR="005D26F8">
        <w:t>All of the utilities exceed their targets by a substantial amount. Overall</w:t>
      </w:r>
      <w:r w:rsidR="003962EB">
        <w:t>,</w:t>
      </w:r>
      <w:r w:rsidR="005D26F8">
        <w:t xml:space="preserve"> natural gas savings were nearly five times the targeted amount. For Wisconsin Public Service and Xcel Energy, utilities for which program</w:t>
      </w:r>
      <w:r w:rsidR="00C105B3">
        <w:t>-</w:t>
      </w:r>
      <w:r w:rsidR="005D26F8">
        <w:t>level details are available, over 90 percent of natural gas savings w</w:t>
      </w:r>
      <w:r w:rsidR="003962EB">
        <w:t xml:space="preserve">ere </w:t>
      </w:r>
      <w:r w:rsidR="005D26F8">
        <w:t xml:space="preserve">achieved with commercial and industrial customers. </w:t>
      </w:r>
    </w:p>
    <w:p w:rsidR="000451BC" w:rsidRDefault="000451BC" w:rsidP="000451BC">
      <w:pPr>
        <w:pStyle w:val="ExhibitTitle"/>
      </w:pPr>
      <w:bookmarkStart w:id="8" w:name="_Ref514011282"/>
      <w:r>
        <w:t xml:space="preserve">Exhibit </w:t>
      </w:r>
      <w:r w:rsidR="00370D51">
        <w:rPr>
          <w:noProof/>
        </w:rPr>
        <w:fldChar w:fldCharType="begin"/>
      </w:r>
      <w:r w:rsidR="003A6383">
        <w:rPr>
          <w:noProof/>
        </w:rPr>
        <w:instrText xml:space="preserve"> SEQ Exhibit \* ARABIC </w:instrText>
      </w:r>
      <w:r w:rsidR="00370D51">
        <w:rPr>
          <w:noProof/>
        </w:rPr>
        <w:fldChar w:fldCharType="separate"/>
      </w:r>
      <w:r w:rsidR="005D34DF">
        <w:rPr>
          <w:noProof/>
        </w:rPr>
        <w:t>2</w:t>
      </w:r>
      <w:r w:rsidR="00370D51">
        <w:rPr>
          <w:noProof/>
        </w:rPr>
        <w:fldChar w:fldCharType="end"/>
      </w:r>
      <w:bookmarkEnd w:id="8"/>
      <w:r>
        <w:t xml:space="preserve">: 2016 Savings and Targets for </w:t>
      </w:r>
      <w:r w:rsidR="00C2463C">
        <w:t>Natural Gas Utilities Operating in the U</w:t>
      </w:r>
      <w:r w:rsidR="00DF2FF8">
        <w:t>.</w:t>
      </w:r>
      <w:r w:rsidR="00C2463C">
        <w:t>P</w:t>
      </w:r>
      <w:r w:rsidR="00DF2FF8">
        <w:t>.</w:t>
      </w:r>
    </w:p>
    <w:p w:rsidR="00EB03E8" w:rsidRDefault="00EB03E8" w:rsidP="00116097">
      <w:pPr>
        <w:pStyle w:val="BodyText"/>
      </w:pPr>
      <w:r>
        <w:rPr>
          <w:noProof/>
        </w:rPr>
        <w:drawing>
          <wp:inline distT="0" distB="0" distL="0" distR="0">
            <wp:extent cx="5943600" cy="2560320"/>
            <wp:effectExtent l="0" t="0" r="0" b="11430"/>
            <wp:docPr id="23" name="Chart 2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CE3F937-DC75-46C1-A86B-6B85411E2D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2463C" w:rsidRDefault="00C2463C" w:rsidP="00C2463C">
      <w:pPr>
        <w:pStyle w:val="ExhibitSource"/>
      </w:pPr>
      <w:r>
        <w:t>Source</w:t>
      </w:r>
      <w:r w:rsidR="007D1313">
        <w:t>:</w:t>
      </w:r>
      <w:r w:rsidR="00B16B28" w:rsidRPr="00B16B28">
        <w:t xml:space="preserve"> </w:t>
      </w:r>
      <w:r w:rsidR="007D1313" w:rsidRPr="00EB03E8">
        <w:t>Efficiency UNITED.</w:t>
      </w:r>
      <w:r w:rsidR="007D1313">
        <w:t xml:space="preserve"> n.d</w:t>
      </w:r>
      <w:r w:rsidR="007D1313" w:rsidRPr="0010738F">
        <w:t xml:space="preserve">. </w:t>
      </w:r>
      <w:r w:rsidR="007D1313" w:rsidRPr="00EB03E8">
        <w:rPr>
          <w:i/>
          <w:iCs/>
        </w:rPr>
        <w:t>2016 Annual Report</w:t>
      </w:r>
      <w:r w:rsidR="007D1313" w:rsidRPr="00EB03E8">
        <w:t xml:space="preserve">. </w:t>
      </w:r>
      <w:r w:rsidR="007D1313">
        <w:t>Accessed February 1, 201</w:t>
      </w:r>
      <w:r w:rsidR="00EF0D63">
        <w:t>8</w:t>
      </w:r>
      <w:r w:rsidR="007D1313">
        <w:t xml:space="preserve">. </w:t>
      </w:r>
      <w:hyperlink r:id="rId20" w:history="1">
        <w:r w:rsidR="007D1313" w:rsidRPr="002A0219">
          <w:rPr>
            <w:rStyle w:val="Hyperlink"/>
          </w:rPr>
          <w:t>https://www.michigan.gov/mpsc/0,4639,7-159-52495_53472_53476-292333--,00.html</w:t>
        </w:r>
      </w:hyperlink>
      <w:r w:rsidR="00EF0D63">
        <w:t xml:space="preserve">; </w:t>
      </w:r>
      <w:r>
        <w:t>SEMCO and DTE Energy</w:t>
      </w:r>
      <w:r w:rsidR="00EF0D63">
        <w:t xml:space="preserve"> pers. comm.</w:t>
      </w:r>
    </w:p>
    <w:p w:rsidR="00116097" w:rsidRDefault="000C2127" w:rsidP="00116097">
      <w:pPr>
        <w:pStyle w:val="BodyText"/>
      </w:pPr>
      <w:r>
        <w:t>Efficiency UNITED</w:t>
      </w:r>
      <w:r w:rsidR="00116097">
        <w:t xml:space="preserve"> and the MECA </w:t>
      </w:r>
      <w:r>
        <w:t>C</w:t>
      </w:r>
      <w:r w:rsidR="00116097">
        <w:t>ollaborative provide similar program offerings.</w:t>
      </w:r>
      <w:r w:rsidR="00771170">
        <w:t xml:space="preserve"> Program names and qualifying measures vary </w:t>
      </w:r>
      <w:r w:rsidR="00BD69E3">
        <w:t xml:space="preserve">somewhat </w:t>
      </w:r>
      <w:r w:rsidR="00771170">
        <w:t>between implementers, and in some cases, between utilities</w:t>
      </w:r>
      <w:r w:rsidR="00994857">
        <w:t>;</w:t>
      </w:r>
      <w:r w:rsidR="00771170">
        <w:t xml:space="preserve"> </w:t>
      </w:r>
      <w:r w:rsidR="00994857">
        <w:t>h</w:t>
      </w:r>
      <w:r w:rsidR="00BD69E3">
        <w:t xml:space="preserve">owever, the overall structure of the program portfolios and the savings by program are consistent. </w:t>
      </w:r>
      <w:r w:rsidR="003C7A84">
        <w:t xml:space="preserve">For </w:t>
      </w:r>
      <w:r w:rsidR="007F4CD2">
        <w:t>example</w:t>
      </w:r>
      <w:r w:rsidR="003C7A84">
        <w:t>, the commercial and industrial programs deliver over half the savings</w:t>
      </w:r>
      <w:r w:rsidR="007F4CD2">
        <w:t xml:space="preserve"> for both implementers</w:t>
      </w:r>
      <w:r w:rsidR="00994857">
        <w:t>,</w:t>
      </w:r>
      <w:r w:rsidR="003C7A84">
        <w:t xml:space="preserve"> and high-efficiency product programs deliver the most savings for the residential sector. </w:t>
      </w:r>
      <w:r w:rsidR="00370D51">
        <w:fldChar w:fldCharType="begin"/>
      </w:r>
      <w:r w:rsidR="00611D6F">
        <w:instrText xml:space="preserve"> REF _Ref514007884 \h </w:instrText>
      </w:r>
      <w:r w:rsidR="00370D51">
        <w:fldChar w:fldCharType="separate"/>
      </w:r>
      <w:r w:rsidR="005D34DF">
        <w:t xml:space="preserve">Exhibit </w:t>
      </w:r>
      <w:r w:rsidR="005D34DF">
        <w:rPr>
          <w:noProof/>
        </w:rPr>
        <w:t>3</w:t>
      </w:r>
      <w:r w:rsidR="00370D51">
        <w:fldChar w:fldCharType="end"/>
      </w:r>
      <w:r w:rsidR="00611D6F">
        <w:t xml:space="preserve"> </w:t>
      </w:r>
      <w:r w:rsidR="00BD69E3">
        <w:t xml:space="preserve">shows 2016 savings and spending by program category for both </w:t>
      </w:r>
      <w:r w:rsidR="00B16B28">
        <w:t>implementer</w:t>
      </w:r>
      <w:r w:rsidR="00BD69E3">
        <w:t xml:space="preserve">s. </w:t>
      </w:r>
      <w:r w:rsidR="00611D6F">
        <w:t>Savings and spending ar</w:t>
      </w:r>
      <w:r w:rsidR="00CB6019">
        <w:t>e generally aligned, although some programs have higher costs</w:t>
      </w:r>
      <w:r w:rsidR="003C7A84">
        <w:t xml:space="preserve"> relative to savings</w:t>
      </w:r>
      <w:r w:rsidR="00CB6019">
        <w:t>, e.g., income</w:t>
      </w:r>
      <w:r w:rsidR="00EF0D63">
        <w:t>-</w:t>
      </w:r>
      <w:r w:rsidR="00CB6019">
        <w:t xml:space="preserve">qualified and residential equipment and envelope </w:t>
      </w:r>
      <w:r w:rsidR="00FE77FF">
        <w:t xml:space="preserve">upgrades. </w:t>
      </w:r>
      <w:r w:rsidR="009E3A07">
        <w:t>The h</w:t>
      </w:r>
      <w:r w:rsidR="00FE77FF">
        <w:t>igh</w:t>
      </w:r>
      <w:r w:rsidR="00C105B3">
        <w:t>-</w:t>
      </w:r>
      <w:r w:rsidR="00FE77FF">
        <w:t xml:space="preserve">efficiency products </w:t>
      </w:r>
      <w:r w:rsidR="003C7A84">
        <w:t xml:space="preserve">and commercial and industrial </w:t>
      </w:r>
      <w:r w:rsidR="009E3A07">
        <w:t>program</w:t>
      </w:r>
      <w:r w:rsidR="003C7A84">
        <w:t>s</w:t>
      </w:r>
      <w:r w:rsidR="009E3A07">
        <w:t xml:space="preserve"> </w:t>
      </w:r>
      <w:r w:rsidR="00FE77FF">
        <w:t>ha</w:t>
      </w:r>
      <w:r w:rsidR="003C7A84">
        <w:t>ve</w:t>
      </w:r>
      <w:r w:rsidR="00FE77FF">
        <w:t xml:space="preserve"> the lowest relative cost of delivery</w:t>
      </w:r>
      <w:r w:rsidR="003C7A84">
        <w:t xml:space="preserve">. The high-efficiency products program delivered </w:t>
      </w:r>
      <w:r w:rsidR="00FE77FF">
        <w:t xml:space="preserve">29 percent of 2016 savings and </w:t>
      </w:r>
      <w:r w:rsidR="003C7A84">
        <w:t xml:space="preserve">accounted for </w:t>
      </w:r>
      <w:r w:rsidR="00FE77FF">
        <w:t>23 percent of spending</w:t>
      </w:r>
      <w:r w:rsidR="007E6F40">
        <w:t>, and over half of the residential sector savings</w:t>
      </w:r>
      <w:r w:rsidR="00FE77FF">
        <w:t>.</w:t>
      </w:r>
      <w:r w:rsidR="000451BC">
        <w:t xml:space="preserve"> </w:t>
      </w:r>
      <w:r w:rsidR="00C01908">
        <w:t xml:space="preserve">The programs targeted to </w:t>
      </w:r>
      <w:r w:rsidR="00C97E4B">
        <w:t>businesses (</w:t>
      </w:r>
      <w:r w:rsidR="00C01908">
        <w:t>commercial</w:t>
      </w:r>
      <w:r w:rsidR="00C97E4B">
        <w:t xml:space="preserve">, industrial, and institutional </w:t>
      </w:r>
      <w:r w:rsidR="00C97E4B">
        <w:lastRenderedPageBreak/>
        <w:t xml:space="preserve">entities) </w:t>
      </w:r>
      <w:r w:rsidR="003C7A84">
        <w:t xml:space="preserve">delivered </w:t>
      </w:r>
      <w:r w:rsidR="007E6F40">
        <w:t>over half of the portfolio savings (55 percent) a</w:t>
      </w:r>
      <w:r w:rsidR="003B4E1B">
        <w:t xml:space="preserve">nd accounted for 46 percent of </w:t>
      </w:r>
      <w:r w:rsidR="00994857">
        <w:t xml:space="preserve">the combined </w:t>
      </w:r>
      <w:r w:rsidR="003B4E1B">
        <w:t>program budgets</w:t>
      </w:r>
      <w:r w:rsidR="008468CE">
        <w:t>.</w:t>
      </w:r>
    </w:p>
    <w:p w:rsidR="00BD69E3" w:rsidRDefault="00BD69E3" w:rsidP="00BD69E3">
      <w:pPr>
        <w:pStyle w:val="ExhibitTitle"/>
      </w:pPr>
      <w:bookmarkStart w:id="9" w:name="_Ref514007884"/>
      <w:r>
        <w:t xml:space="preserve">Exhibit </w:t>
      </w:r>
      <w:r w:rsidR="00370D51">
        <w:rPr>
          <w:noProof/>
        </w:rPr>
        <w:fldChar w:fldCharType="begin"/>
      </w:r>
      <w:r w:rsidR="003A6383">
        <w:rPr>
          <w:noProof/>
        </w:rPr>
        <w:instrText xml:space="preserve"> SEQ Exhibit \* ARABIC </w:instrText>
      </w:r>
      <w:r w:rsidR="00370D51">
        <w:rPr>
          <w:noProof/>
        </w:rPr>
        <w:fldChar w:fldCharType="separate"/>
      </w:r>
      <w:r w:rsidR="005D34DF">
        <w:rPr>
          <w:noProof/>
        </w:rPr>
        <w:t>3</w:t>
      </w:r>
      <w:r w:rsidR="00370D51">
        <w:rPr>
          <w:noProof/>
        </w:rPr>
        <w:fldChar w:fldCharType="end"/>
      </w:r>
      <w:bookmarkEnd w:id="9"/>
      <w:r>
        <w:t>: Annual Savin</w:t>
      </w:r>
      <w:r w:rsidR="00611D6F">
        <w:t>gs and Spending by Program Category</w:t>
      </w:r>
      <w:r>
        <w:t xml:space="preserve"> (MWhs and </w:t>
      </w:r>
      <w:r w:rsidR="00611D6F">
        <w:t xml:space="preserve">Thousands of </w:t>
      </w:r>
      <w:r w:rsidR="00EF0D63">
        <w:t>D</w:t>
      </w:r>
      <w:r w:rsidR="00611D6F">
        <w:t>ollars</w:t>
      </w:r>
      <w:r>
        <w:t>)</w:t>
      </w:r>
    </w:p>
    <w:p w:rsidR="00E01C75" w:rsidRDefault="00E725D5" w:rsidP="00F31F3C">
      <w:pPr>
        <w:pStyle w:val="BodyText"/>
      </w:pPr>
      <w:r w:rsidRPr="00E725D5">
        <w:rPr>
          <w:noProof/>
        </w:rPr>
        <w:drawing>
          <wp:inline distT="0" distB="0" distL="0" distR="0">
            <wp:extent cx="5943600" cy="2187575"/>
            <wp:effectExtent l="0" t="0" r="0" b="3175"/>
            <wp:docPr id="19" name="Chart 1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DBD2E77-7D16-47DE-827D-392F05B794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928A9" w:rsidRDefault="004928A9" w:rsidP="004928A9">
      <w:pPr>
        <w:pStyle w:val="ExhibitSource"/>
      </w:pPr>
      <w:r w:rsidRPr="00EB03E8">
        <w:t>Sources: Efficiency UNITED.</w:t>
      </w:r>
      <w:r>
        <w:t xml:space="preserve"> n.d</w:t>
      </w:r>
      <w:r w:rsidRPr="0010738F">
        <w:t xml:space="preserve">. </w:t>
      </w:r>
      <w:r w:rsidRPr="00EB03E8">
        <w:rPr>
          <w:i/>
          <w:iCs/>
        </w:rPr>
        <w:t>2016 Annual Report</w:t>
      </w:r>
      <w:r w:rsidRPr="00EB03E8">
        <w:t xml:space="preserve">. </w:t>
      </w:r>
      <w:r>
        <w:t xml:space="preserve">Accessed February 1, 2018. </w:t>
      </w:r>
      <w:hyperlink r:id="rId22" w:history="1">
        <w:r w:rsidRPr="002A0219">
          <w:rPr>
            <w:rStyle w:val="Hyperlink"/>
          </w:rPr>
          <w:t>https://www.michigan.gov/mpsc/0,4639,7-159-52495_53472_53476-292333--,00.html</w:t>
        </w:r>
      </w:hyperlink>
      <w:r>
        <w:t xml:space="preserve">; </w:t>
      </w:r>
      <w:r w:rsidRPr="00EB03E8">
        <w:t xml:space="preserve">Michigan Electric Cooperative Association. June 30, 2017. </w:t>
      </w:r>
      <w:r w:rsidRPr="0010738F">
        <w:rPr>
          <w:i/>
        </w:rPr>
        <w:t>Collaborative</w:t>
      </w:r>
      <w:r w:rsidRPr="00EB03E8">
        <w:rPr>
          <w:i/>
          <w:iCs/>
        </w:rPr>
        <w:t xml:space="preserve"> Energy Optimization Annual Report for 2016</w:t>
      </w:r>
      <w:r w:rsidRPr="0010738F">
        <w:t>.</w:t>
      </w:r>
      <w:r w:rsidRPr="00EB03E8">
        <w:t xml:space="preserve"> Lansing: Michigan Electric Cooperative Association. </w:t>
      </w:r>
    </w:p>
    <w:p w:rsidR="00E01C75" w:rsidRDefault="003B4E1B" w:rsidP="006A7EFB">
      <w:pPr>
        <w:pStyle w:val="Heading1"/>
      </w:pPr>
      <w:bookmarkStart w:id="10" w:name="_Toc533742659"/>
      <w:r>
        <w:t>Energy Savings</w:t>
      </w:r>
      <w:r w:rsidR="00362087">
        <w:t xml:space="preserve"> Potential</w:t>
      </w:r>
      <w:bookmarkEnd w:id="10"/>
    </w:p>
    <w:p w:rsidR="00F31F3C" w:rsidRDefault="00F31F3C" w:rsidP="00F31F3C">
      <w:pPr>
        <w:pStyle w:val="BodyText"/>
      </w:pPr>
      <w:r>
        <w:t>The availability of low-hanging fruit, i.e., low-cost, easy</w:t>
      </w:r>
      <w:r w:rsidR="00BC2D41">
        <w:t>-</w:t>
      </w:r>
      <w:r>
        <w:t>to</w:t>
      </w:r>
      <w:r w:rsidR="00BC2D41">
        <w:t>-</w:t>
      </w:r>
      <w:r>
        <w:t>implement energy</w:t>
      </w:r>
      <w:r w:rsidR="003754A0">
        <w:t>-</w:t>
      </w:r>
      <w:r>
        <w:t>efficiency measures, and advantageous policies</w:t>
      </w:r>
      <w:r w:rsidR="00946653">
        <w:t>,</w:t>
      </w:r>
      <w:r>
        <w:t xml:space="preserve"> including market transformation bonuses, ha</w:t>
      </w:r>
      <w:r w:rsidR="00387F53">
        <w:t>ve</w:t>
      </w:r>
      <w:r>
        <w:t xml:space="preserve"> supported utilities meeting and exceeding energy</w:t>
      </w:r>
      <w:r w:rsidR="003754A0">
        <w:t>-</w:t>
      </w:r>
      <w:r>
        <w:t xml:space="preserve">efficiency targets since the inception of PA 295 and </w:t>
      </w:r>
      <w:r w:rsidR="003754A0">
        <w:t xml:space="preserve">its </w:t>
      </w:r>
      <w:r>
        <w:t>amend</w:t>
      </w:r>
      <w:r w:rsidR="003754A0">
        <w:t>ment</w:t>
      </w:r>
      <w:r>
        <w:t xml:space="preserve"> by PA 342.</w:t>
      </w:r>
      <w:r w:rsidR="00D06AB3">
        <w:t xml:space="preserve"> </w:t>
      </w:r>
    </w:p>
    <w:p w:rsidR="00F31F3C" w:rsidRDefault="00F31F3C" w:rsidP="00F31F3C">
      <w:pPr>
        <w:pStyle w:val="BodyText"/>
      </w:pPr>
      <w:r>
        <w:t xml:space="preserve">Going forward, significant energy savings opportunities exist, but will require a strong delivery infrastructure, an engaged customer base, and support from local stakeholders and agencies to continue successful delivery of energy savings. </w:t>
      </w:r>
      <w:r w:rsidR="00BC2D41">
        <w:t>Further challenging energy savings is the fact that e</w:t>
      </w:r>
      <w:r>
        <w:t xml:space="preserve">nergy services in the U.P. are complicated by a number of factors: the vast geography, low population density, and the diversity of energy suppliers. </w:t>
      </w:r>
    </w:p>
    <w:p w:rsidR="00362087" w:rsidRDefault="001C5E8B" w:rsidP="00362087">
      <w:pPr>
        <w:pStyle w:val="BodyText"/>
      </w:pPr>
      <w:r>
        <w:t>Pursuing</w:t>
      </w:r>
      <w:r w:rsidR="00362087">
        <w:t xml:space="preserve"> EWR potential stands to benefit both utility providers and their </w:t>
      </w:r>
      <w:r w:rsidR="00483930">
        <w:t xml:space="preserve">U.P. </w:t>
      </w:r>
      <w:r w:rsidR="00362087">
        <w:t>customers. The achievable energy</w:t>
      </w:r>
      <w:r w:rsidR="00483930">
        <w:t>-</w:t>
      </w:r>
      <w:r w:rsidR="00362087">
        <w:t>efficiency potential identified in the U.P., if captured, could create net benefits of over $137 million by 2026.</w:t>
      </w:r>
      <w:r w:rsidR="00CB4C37">
        <w:rPr>
          <w:rStyle w:val="FootnoteReference"/>
        </w:rPr>
        <w:footnoteReference w:id="8"/>
      </w:r>
      <w:r w:rsidR="00362087">
        <w:t xml:space="preserve"> </w:t>
      </w:r>
      <w:r w:rsidR="002459A9">
        <w:t xml:space="preserve">The potential net benefits are the difference between projected net present value (NPV) </w:t>
      </w:r>
      <w:r>
        <w:t xml:space="preserve">of </w:t>
      </w:r>
      <w:r w:rsidR="002459A9">
        <w:t>the costs avoided by not having to supply energy</w:t>
      </w:r>
      <w:r>
        <w:t>, estimated at $215 million,</w:t>
      </w:r>
      <w:r w:rsidR="002459A9">
        <w:t xml:space="preserve"> and the NPV of the costs to deliver programs (i.e., administration, marketing and outreach, technical assistance, incentives)</w:t>
      </w:r>
      <w:r w:rsidR="007B11AE">
        <w:t>,</w:t>
      </w:r>
      <w:r w:rsidR="002459A9">
        <w:t xml:space="preserve"> estimated at $78 million.</w:t>
      </w:r>
      <w:r w:rsidR="002459A9">
        <w:rPr>
          <w:rStyle w:val="FootnoteReference"/>
        </w:rPr>
        <w:footnoteReference w:id="9"/>
      </w:r>
      <w:r w:rsidR="002459A9">
        <w:t xml:space="preserve"> </w:t>
      </w:r>
    </w:p>
    <w:p w:rsidR="002C4EA8" w:rsidRDefault="00CB79C1" w:rsidP="00362087">
      <w:pPr>
        <w:pStyle w:val="BodyText"/>
      </w:pPr>
      <w:r>
        <w:t xml:space="preserve">Expanding program reach and/or reducing the cost of delivering programs both can increase the already substantial net benefits to U.P. residents </w:t>
      </w:r>
      <w:r w:rsidR="00483930">
        <w:t>and</w:t>
      </w:r>
      <w:r>
        <w:t xml:space="preserve"> businesses. </w:t>
      </w:r>
      <w:r w:rsidR="00370D51">
        <w:fldChar w:fldCharType="begin"/>
      </w:r>
      <w:r w:rsidR="004429A4">
        <w:instrText xml:space="preserve"> REF _Ref514218739 \h </w:instrText>
      </w:r>
      <w:r w:rsidR="00370D51">
        <w:fldChar w:fldCharType="separate"/>
      </w:r>
      <w:r w:rsidR="005D34DF">
        <w:t xml:space="preserve">Exhibit </w:t>
      </w:r>
      <w:r w:rsidR="005D34DF">
        <w:rPr>
          <w:noProof/>
        </w:rPr>
        <w:t>4</w:t>
      </w:r>
      <w:r w:rsidR="00370D51">
        <w:fldChar w:fldCharType="end"/>
      </w:r>
      <w:r w:rsidR="00581805">
        <w:t xml:space="preserve"> shows the </w:t>
      </w:r>
      <w:r w:rsidR="006428A3">
        <w:t xml:space="preserve">potential net benefits to the </w:t>
      </w:r>
      <w:r w:rsidR="006428A3">
        <w:lastRenderedPageBreak/>
        <w:t xml:space="preserve">U.P. under three scenarios: </w:t>
      </w:r>
      <w:r w:rsidR="003B2694">
        <w:t>Business as Usual</w:t>
      </w:r>
      <w:r w:rsidR="006428A3">
        <w:t xml:space="preserve"> (achieving the </w:t>
      </w:r>
      <w:r w:rsidR="00A452F0">
        <w:t xml:space="preserve">1 </w:t>
      </w:r>
      <w:r w:rsidR="006428A3">
        <w:t xml:space="preserve">percent savings target annually); </w:t>
      </w:r>
      <w:r w:rsidR="00A452F0">
        <w:t>A</w:t>
      </w:r>
      <w:r w:rsidR="006428A3">
        <w:t xml:space="preserve">ll </w:t>
      </w:r>
      <w:r w:rsidR="00A452F0">
        <w:t>A</w:t>
      </w:r>
      <w:r w:rsidR="006428A3">
        <w:t xml:space="preserve">chievable </w:t>
      </w:r>
      <w:r w:rsidR="00A452F0">
        <w:t>P</w:t>
      </w:r>
      <w:r w:rsidR="006428A3">
        <w:t xml:space="preserve">otential (considered an aggressive scenario in this analysis); and a </w:t>
      </w:r>
      <w:r w:rsidR="00A452F0">
        <w:t>S</w:t>
      </w:r>
      <w:r w:rsidR="006428A3">
        <w:t xml:space="preserve">trategic </w:t>
      </w:r>
      <w:r w:rsidR="00A452F0">
        <w:t>P</w:t>
      </w:r>
      <w:r w:rsidR="006428A3">
        <w:t xml:space="preserve">ortfolio scenario </w:t>
      </w:r>
      <w:r w:rsidR="00A365B3">
        <w:t xml:space="preserve">that </w:t>
      </w:r>
      <w:r w:rsidR="006428A3">
        <w:t>envisions potential cost savings and opportunities for expanded impacts from focus on hard-to-reach customers and new technology applications.</w:t>
      </w:r>
      <w:r w:rsidR="003735BF">
        <w:t xml:space="preserve"> The </w:t>
      </w:r>
      <w:r w:rsidR="003B2694">
        <w:t>Business as Usual</w:t>
      </w:r>
      <w:r w:rsidR="003735BF">
        <w:t xml:space="preserve"> scenario </w:t>
      </w:r>
      <w:r w:rsidR="00F8576E">
        <w:t xml:space="preserve">represents savings of </w:t>
      </w:r>
      <w:r w:rsidR="00447C12">
        <w:t>1</w:t>
      </w:r>
      <w:r w:rsidR="00F8576E">
        <w:t xml:space="preserve"> percent of annual sales and investment of 1.7 percent of annual revenue. The </w:t>
      </w:r>
      <w:r w:rsidR="003B2694">
        <w:t>Strategic Portfolio</w:t>
      </w:r>
      <w:r w:rsidR="00F8576E">
        <w:t xml:space="preserve"> scenario achieves annual savings of 1.2 percent of annual sales and requires investment of </w:t>
      </w:r>
      <w:r w:rsidR="00447C12">
        <w:t>2</w:t>
      </w:r>
      <w:r w:rsidR="00F8576E">
        <w:t xml:space="preserve"> percent of annual revenue. The </w:t>
      </w:r>
      <w:r w:rsidR="00A452F0">
        <w:t>A</w:t>
      </w:r>
      <w:r w:rsidR="00F8576E">
        <w:t xml:space="preserve">ll </w:t>
      </w:r>
      <w:r w:rsidR="00A452F0">
        <w:t>A</w:t>
      </w:r>
      <w:r w:rsidR="00F8576E">
        <w:t xml:space="preserve">chievable </w:t>
      </w:r>
      <w:r w:rsidR="00A452F0">
        <w:t>P</w:t>
      </w:r>
      <w:r w:rsidR="00F8576E">
        <w:t xml:space="preserve">otential scenario requires investment of </w:t>
      </w:r>
      <w:r w:rsidR="00EA39C6">
        <w:t>3</w:t>
      </w:r>
      <w:r w:rsidR="00F8576E">
        <w:t xml:space="preserve"> percent of annual revenue to capture savings of 1.7 percent of annual sales. All three scenarios are cost-effective, but the </w:t>
      </w:r>
      <w:r w:rsidR="003B2694">
        <w:t>Strategic Portfolio</w:t>
      </w:r>
      <w:r w:rsidR="00F8576E">
        <w:t xml:space="preserve"> scenario has the highest benefit-cost ratio. </w:t>
      </w:r>
    </w:p>
    <w:p w:rsidR="006428A3" w:rsidRDefault="006428A3" w:rsidP="006428A3">
      <w:pPr>
        <w:pStyle w:val="ExhibitTitle"/>
      </w:pPr>
      <w:bookmarkStart w:id="11" w:name="_Ref514218739"/>
      <w:r>
        <w:t xml:space="preserve">Exhibit </w:t>
      </w:r>
      <w:r w:rsidR="00370D51">
        <w:rPr>
          <w:noProof/>
        </w:rPr>
        <w:fldChar w:fldCharType="begin"/>
      </w:r>
      <w:r w:rsidR="003A6383">
        <w:rPr>
          <w:noProof/>
        </w:rPr>
        <w:instrText xml:space="preserve"> SEQ Exhibit \* ARABIC </w:instrText>
      </w:r>
      <w:r w:rsidR="00370D51">
        <w:rPr>
          <w:noProof/>
        </w:rPr>
        <w:fldChar w:fldCharType="separate"/>
      </w:r>
      <w:r w:rsidR="005D34DF">
        <w:rPr>
          <w:noProof/>
        </w:rPr>
        <w:t>4</w:t>
      </w:r>
      <w:r w:rsidR="00370D51">
        <w:rPr>
          <w:noProof/>
        </w:rPr>
        <w:fldChar w:fldCharType="end"/>
      </w:r>
      <w:bookmarkEnd w:id="11"/>
      <w:r>
        <w:t>: Net Benefits in Alternate Scenarios</w:t>
      </w:r>
    </w:p>
    <w:p w:rsidR="006428A3" w:rsidRDefault="00EB03E8" w:rsidP="006428A3">
      <w:pPr>
        <w:pStyle w:val="ExhibitSource"/>
      </w:pPr>
      <w:r>
        <w:rPr>
          <w:noProof/>
        </w:rPr>
        <w:drawing>
          <wp:inline distT="0" distB="0" distL="0" distR="0">
            <wp:extent cx="5857875" cy="2743200"/>
            <wp:effectExtent l="0" t="0" r="9525" b="0"/>
            <wp:docPr id="22" name="Chart 2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4C25F7C-570B-4129-847D-B90271FB55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t xml:space="preserve"> </w:t>
      </w:r>
      <w:r w:rsidR="006428A3">
        <w:t>Source</w:t>
      </w:r>
      <w:r w:rsidR="00F8576E">
        <w:t>s</w:t>
      </w:r>
      <w:r w:rsidR="006428A3">
        <w:t xml:space="preserve">: </w:t>
      </w:r>
      <w:r w:rsidR="00A452F0">
        <w:t xml:space="preserve">Data compiled from </w:t>
      </w:r>
      <w:r w:rsidR="00F8576E">
        <w:t>PSC analysis</w:t>
      </w:r>
      <w:r w:rsidR="00A452F0">
        <w:t xml:space="preserve"> as well as</w:t>
      </w:r>
      <w:r w:rsidR="00F8576E">
        <w:t xml:space="preserve"> </w:t>
      </w:r>
      <w:r w:rsidR="000C2127">
        <w:t>Efficiency UNITED</w:t>
      </w:r>
      <w:r w:rsidR="00F8576E">
        <w:t xml:space="preserve"> and MECA Collaborative </w:t>
      </w:r>
      <w:r w:rsidR="00A452F0">
        <w:t>EWR</w:t>
      </w:r>
      <w:r w:rsidR="00F8576E">
        <w:t xml:space="preserve"> plans</w:t>
      </w:r>
      <w:r w:rsidR="00CD6EA7">
        <w:t xml:space="preserve"> filed </w:t>
      </w:r>
      <w:r w:rsidR="007C2F27">
        <w:t>with the</w:t>
      </w:r>
      <w:r w:rsidR="00CD6EA7">
        <w:t xml:space="preserve"> </w:t>
      </w:r>
      <w:r w:rsidR="00B25F4E">
        <w:t>Michigan Public Service Commission</w:t>
      </w:r>
      <w:r w:rsidR="00B16B28">
        <w:t>;</w:t>
      </w:r>
      <w:r w:rsidR="007C2F27">
        <w:t xml:space="preserve"> </w:t>
      </w:r>
      <w:r w:rsidR="00B16B28">
        <w:t xml:space="preserve">GDS Associates. </w:t>
      </w:r>
      <w:r w:rsidR="00B16B28" w:rsidRPr="00CB4C37">
        <w:rPr>
          <w:szCs w:val="21"/>
        </w:rPr>
        <w:t>August 9, 2017</w:t>
      </w:r>
      <w:r w:rsidR="00B16B28">
        <w:rPr>
          <w:szCs w:val="21"/>
        </w:rPr>
        <w:t xml:space="preserve">. </w:t>
      </w:r>
      <w:r w:rsidR="00B16B28" w:rsidRPr="003C6165">
        <w:rPr>
          <w:i/>
        </w:rPr>
        <w:t>Upper Peninsula Energy Efficiency Potential Study Final Report</w:t>
      </w:r>
      <w:r w:rsidR="00B16B28" w:rsidRPr="00C01908">
        <w:rPr>
          <w:i/>
          <w:szCs w:val="21"/>
        </w:rPr>
        <w:t>.</w:t>
      </w:r>
      <w:r w:rsidR="00B16B28">
        <w:rPr>
          <w:szCs w:val="21"/>
        </w:rPr>
        <w:t xml:space="preserve"> Accessed September 1, 2017. </w:t>
      </w:r>
      <w:r w:rsidR="00B16B28" w:rsidRPr="00C01908">
        <w:rPr>
          <w:szCs w:val="21"/>
        </w:rPr>
        <w:t>https://www.michigan.gov/mpsc/0,4639,7-159-80741---,00.html</w:t>
      </w:r>
    </w:p>
    <w:p w:rsidR="00362087" w:rsidRDefault="00487E12" w:rsidP="006A7EFB">
      <w:pPr>
        <w:pStyle w:val="Heading1"/>
      </w:pPr>
      <w:bookmarkStart w:id="12" w:name="_Toc533742660"/>
      <w:r>
        <w:t>Process for Assessing Potential Portfolio/Program improvements</w:t>
      </w:r>
      <w:bookmarkEnd w:id="12"/>
    </w:p>
    <w:p w:rsidR="00F0679F" w:rsidRPr="00F0679F" w:rsidRDefault="00F0679F" w:rsidP="00F0679F">
      <w:pPr>
        <w:pStyle w:val="BodyText"/>
      </w:pPr>
      <w:r>
        <w:t xml:space="preserve">To assess the opportunities for enhancing EWR programs in the U.P., and to develop strategic portfolio, PSC conducted three primary activities: a review of best practices; an assessment of impact on costs and benefits of adoption of recommended strategies; and collection of stakeholder input through forums and a survey. </w:t>
      </w:r>
    </w:p>
    <w:p w:rsidR="003304AC" w:rsidRPr="003304AC" w:rsidRDefault="003304AC" w:rsidP="003304AC">
      <w:pPr>
        <w:pStyle w:val="Heading2"/>
      </w:pPr>
      <w:bookmarkStart w:id="13" w:name="_Toc533742661"/>
      <w:r>
        <w:t>Best Practices</w:t>
      </w:r>
      <w:bookmarkEnd w:id="13"/>
    </w:p>
    <w:p w:rsidR="00F31F3C" w:rsidRDefault="00B772DA" w:rsidP="00F31F3C">
      <w:pPr>
        <w:pStyle w:val="BodyText"/>
      </w:pPr>
      <w:r>
        <w:t>This study examine</w:t>
      </w:r>
      <w:r w:rsidR="00E4760C">
        <w:t>d</w:t>
      </w:r>
      <w:r w:rsidR="00F31F3C">
        <w:t xml:space="preserve"> strategies that would enhance delivery </w:t>
      </w:r>
      <w:r w:rsidR="00E73E1E">
        <w:t xml:space="preserve">of </w:t>
      </w:r>
      <w:r w:rsidR="00362087">
        <w:t xml:space="preserve">EWR </w:t>
      </w:r>
      <w:r w:rsidR="00F31F3C">
        <w:t>programs in the U.P., lower costs for service providers and participants, and more effectively reach customers that are historically underserved by energy</w:t>
      </w:r>
      <w:r w:rsidR="00A365B3">
        <w:t>-</w:t>
      </w:r>
      <w:r w:rsidR="00F31F3C">
        <w:t xml:space="preserve">efficiency programs. </w:t>
      </w:r>
      <w:r w:rsidR="00F0679F">
        <w:t xml:space="preserve">In addition to a general review of best practices, strategies for reaching diverse customers over a large geographic area were examined. Five key areas for strengthening the programs offered were identified: </w:t>
      </w:r>
    </w:p>
    <w:p w:rsidR="00F31F3C" w:rsidRDefault="00F31F3C" w:rsidP="00F31F3C">
      <w:pPr>
        <w:pStyle w:val="ListBullet"/>
      </w:pPr>
      <w:r w:rsidRPr="00A07353">
        <w:rPr>
          <w:b/>
        </w:rPr>
        <w:lastRenderedPageBreak/>
        <w:t>Uniform program design and requirements</w:t>
      </w:r>
      <w:r w:rsidR="00E726F1">
        <w:rPr>
          <w:b/>
        </w:rPr>
        <w:t>.</w:t>
      </w:r>
      <w:r>
        <w:t xml:space="preserve"> Variation in utility program designs can create confusion for end-users, market actors, and others. Each utility and their customers have unique characteristics</w:t>
      </w:r>
      <w:r w:rsidR="009D4F0D">
        <w:t>,</w:t>
      </w:r>
      <w:r>
        <w:t xml:space="preserve"> but small variations in measure offerings, rebate levels, or application requirements are more likely to impede participation than to meet specific or unique needs of a utility’s customers. Uniform program design allows for accelerated adoption of best practices. </w:t>
      </w:r>
    </w:p>
    <w:p w:rsidR="00F31F3C" w:rsidRDefault="00F31F3C" w:rsidP="00F31F3C">
      <w:pPr>
        <w:pStyle w:val="ListBullet"/>
      </w:pPr>
      <w:r w:rsidRPr="00A07353">
        <w:rPr>
          <w:b/>
        </w:rPr>
        <w:t>A U.P.</w:t>
      </w:r>
      <w:r w:rsidR="00A365B3">
        <w:rPr>
          <w:b/>
        </w:rPr>
        <w:t>-</w:t>
      </w:r>
      <w:r w:rsidRPr="00A07353">
        <w:rPr>
          <w:b/>
        </w:rPr>
        <w:t>focused trade ally network</w:t>
      </w:r>
      <w:r w:rsidR="00E726F1">
        <w:rPr>
          <w:b/>
        </w:rPr>
        <w:t>.</w:t>
      </w:r>
      <w:r>
        <w:t xml:space="preserve"> A fully developed and trained trade ally network create</w:t>
      </w:r>
      <w:r w:rsidR="00A365B3">
        <w:t>s</w:t>
      </w:r>
      <w:r>
        <w:t xml:space="preserve"> significant value by decreasing administrative costs, increasing quality and realization of energy savings, and increasing overall customer engagement and satisfaction.</w:t>
      </w:r>
    </w:p>
    <w:p w:rsidR="00F31F3C" w:rsidRDefault="00F31F3C" w:rsidP="00F31F3C">
      <w:pPr>
        <w:pStyle w:val="ListBullet"/>
      </w:pPr>
      <w:r w:rsidRPr="00A07353">
        <w:rPr>
          <w:b/>
        </w:rPr>
        <w:t xml:space="preserve">Bulk purchasing or competitive bidding for key </w:t>
      </w:r>
      <w:r w:rsidR="00963488" w:rsidRPr="00A07353">
        <w:rPr>
          <w:b/>
        </w:rPr>
        <w:t>energy</w:t>
      </w:r>
      <w:r w:rsidR="00963488">
        <w:rPr>
          <w:b/>
        </w:rPr>
        <w:t>-</w:t>
      </w:r>
      <w:r w:rsidRPr="00A07353">
        <w:rPr>
          <w:b/>
        </w:rPr>
        <w:t>efficiency</w:t>
      </w:r>
      <w:r w:rsidR="00963488">
        <w:rPr>
          <w:b/>
        </w:rPr>
        <w:t xml:space="preserve"> </w:t>
      </w:r>
      <w:r w:rsidRPr="00A07353">
        <w:rPr>
          <w:b/>
        </w:rPr>
        <w:t>technologies or measures</w:t>
      </w:r>
      <w:r w:rsidR="00E726F1">
        <w:rPr>
          <w:b/>
        </w:rPr>
        <w:t>.</w:t>
      </w:r>
      <w:r>
        <w:t xml:space="preserve"> In each market sector, there are technologies or measures that account for a significant portion of the energy</w:t>
      </w:r>
      <w:r w:rsidR="00A365B3">
        <w:t>-</w:t>
      </w:r>
      <w:r>
        <w:t>efficiency potential</w:t>
      </w:r>
      <w:r w:rsidR="00EB03E8">
        <w:t>. D</w:t>
      </w:r>
      <w:r>
        <w:t xml:space="preserve">riving down the cost of these technologies can </w:t>
      </w:r>
      <w:r w:rsidR="00A365B3">
        <w:t xml:space="preserve">greatly </w:t>
      </w:r>
      <w:r>
        <w:t xml:space="preserve">increase overall cost-effectiveness of the utilities’ program portfolios and reduce customer investment requirements. This approach can also be used for introduction of emerging technologies that often have higher costs until a certain market saturation is achieved. </w:t>
      </w:r>
    </w:p>
    <w:p w:rsidR="00F31F3C" w:rsidRDefault="00F31F3C" w:rsidP="00F31F3C">
      <w:pPr>
        <w:pStyle w:val="ListBullet"/>
      </w:pPr>
      <w:r w:rsidRPr="00A07353">
        <w:rPr>
          <w:b/>
        </w:rPr>
        <w:t>Centralized planning</w:t>
      </w:r>
      <w:r w:rsidR="00004BDE">
        <w:rPr>
          <w:b/>
        </w:rPr>
        <w:t>, management</w:t>
      </w:r>
      <w:r w:rsidRPr="00A07353">
        <w:rPr>
          <w:b/>
        </w:rPr>
        <w:t>, and evaluation</w:t>
      </w:r>
      <w:r w:rsidR="00E726F1">
        <w:rPr>
          <w:b/>
        </w:rPr>
        <w:t>.</w:t>
      </w:r>
      <w:r>
        <w:t xml:space="preserve"> Coordinated planning efforts, delivery support, and monitoring evaluation can reduce the cost burden and improve the effectiveness of each of these functions. </w:t>
      </w:r>
    </w:p>
    <w:p w:rsidR="00E4760C" w:rsidRDefault="00F31F3C" w:rsidP="001E121C">
      <w:pPr>
        <w:pStyle w:val="ListBullet"/>
        <w:contextualSpacing w:val="0"/>
      </w:pPr>
      <w:r w:rsidRPr="00935657">
        <w:rPr>
          <w:b/>
        </w:rPr>
        <w:t>Leverage</w:t>
      </w:r>
      <w:r w:rsidR="00220F89">
        <w:rPr>
          <w:b/>
        </w:rPr>
        <w:t>d</w:t>
      </w:r>
      <w:r w:rsidRPr="00935657">
        <w:rPr>
          <w:b/>
        </w:rPr>
        <w:t xml:space="preserve"> investment. </w:t>
      </w:r>
      <w:r w:rsidR="00935657" w:rsidRPr="00935657">
        <w:t>Federal and foundation grants to advance clean energy options can help extend the impact of utility and customer EWR investments</w:t>
      </w:r>
      <w:r w:rsidR="00935657">
        <w:t xml:space="preserve">. </w:t>
      </w:r>
      <w:r w:rsidR="00935657" w:rsidRPr="00935657">
        <w:t>Michigan,</w:t>
      </w:r>
      <w:r w:rsidR="00A678CE">
        <w:t xml:space="preserve"> especially</w:t>
      </w:r>
      <w:r w:rsidR="00935657" w:rsidRPr="00935657">
        <w:t xml:space="preserve"> the U.P., h</w:t>
      </w:r>
      <w:r w:rsidR="00B772DA">
        <w:t>as</w:t>
      </w:r>
      <w:r w:rsidR="00935657" w:rsidRPr="00935657">
        <w:t xml:space="preserve"> been underrepresented in historical awards of some of these funding opportunities</w:t>
      </w:r>
      <w:r w:rsidR="00A678CE">
        <w:t xml:space="preserve">; for example, </w:t>
      </w:r>
      <w:r w:rsidR="00935657" w:rsidRPr="00935657">
        <w:t xml:space="preserve">Michigan has over </w:t>
      </w:r>
      <w:r w:rsidR="000E5CE4">
        <w:t>4</w:t>
      </w:r>
      <w:r w:rsidR="000E5CE4" w:rsidRPr="00935657">
        <w:t xml:space="preserve"> </w:t>
      </w:r>
      <w:r w:rsidR="00935657" w:rsidRPr="00935657">
        <w:t xml:space="preserve">percent of the nation’s rural population, but has received less than </w:t>
      </w:r>
      <w:r w:rsidR="00A678CE">
        <w:t>2</w:t>
      </w:r>
      <w:r w:rsidR="00A678CE" w:rsidRPr="00935657">
        <w:t xml:space="preserve"> </w:t>
      </w:r>
      <w:r w:rsidR="00935657" w:rsidRPr="00935657">
        <w:t xml:space="preserve">percent of the funding distributed through the Rural Energy for America </w:t>
      </w:r>
      <w:r w:rsidR="00A365B3">
        <w:t>P</w:t>
      </w:r>
      <w:r w:rsidR="00935657" w:rsidRPr="00935657">
        <w:t>rogram. This is but one notable example of available funding</w:t>
      </w:r>
      <w:r w:rsidR="00935657">
        <w:t xml:space="preserve"> that could be more fully utilized.</w:t>
      </w:r>
      <w:r w:rsidR="00935657" w:rsidRPr="00935657">
        <w:t xml:space="preserve"> </w:t>
      </w:r>
      <w:r w:rsidR="00E76E3F">
        <w:t xml:space="preserve">   </w:t>
      </w:r>
    </w:p>
    <w:p w:rsidR="001E121C" w:rsidRDefault="00E4760C" w:rsidP="001E121C">
      <w:pPr>
        <w:pStyle w:val="BodyText"/>
      </w:pPr>
      <w:r>
        <w:t xml:space="preserve">As shown in </w:t>
      </w:r>
      <w:fldSimple w:instr=" REF _Ref514041547 \h  \* MERGEFORMAT ">
        <w:r>
          <w:t xml:space="preserve">Exhibit </w:t>
        </w:r>
        <w:r>
          <w:rPr>
            <w:noProof/>
          </w:rPr>
          <w:t>5</w:t>
        </w:r>
      </w:fldSimple>
      <w:r>
        <w:t>, these strategies are interdependent and collectively support program efficiency and efficacy and can help to ensure program participation opportunities for all customers.</w:t>
      </w:r>
      <w:bookmarkStart w:id="14" w:name="_Ref514041547"/>
      <w:r w:rsidR="001E121C" w:rsidRPr="001E121C">
        <w:t xml:space="preserve"> </w:t>
      </w:r>
    </w:p>
    <w:p w:rsidR="001E121C" w:rsidRDefault="001E121C" w:rsidP="001E121C">
      <w:pPr>
        <w:pStyle w:val="ExhibitTitle"/>
      </w:pPr>
      <w:r>
        <w:t xml:space="preserve">Exhibit </w:t>
      </w:r>
      <w:r w:rsidR="00370D51">
        <w:rPr>
          <w:noProof/>
        </w:rPr>
        <w:fldChar w:fldCharType="begin"/>
      </w:r>
      <w:r>
        <w:rPr>
          <w:noProof/>
        </w:rPr>
        <w:instrText xml:space="preserve"> SEQ Exhibit \* ARABIC </w:instrText>
      </w:r>
      <w:r w:rsidR="00370D51">
        <w:rPr>
          <w:noProof/>
        </w:rPr>
        <w:fldChar w:fldCharType="separate"/>
      </w:r>
      <w:r>
        <w:rPr>
          <w:noProof/>
        </w:rPr>
        <w:t>5</w:t>
      </w:r>
      <w:r w:rsidR="00370D51">
        <w:rPr>
          <w:noProof/>
        </w:rPr>
        <w:fldChar w:fldCharType="end"/>
      </w:r>
      <w:bookmarkEnd w:id="14"/>
      <w:r>
        <w:t>: Portfolio Strategy</w:t>
      </w:r>
    </w:p>
    <w:p w:rsidR="001E121C" w:rsidRDefault="001E121C" w:rsidP="001E121C">
      <w:pPr>
        <w:pStyle w:val="Heading1"/>
        <w:jc w:val="center"/>
      </w:pPr>
      <w:bookmarkStart w:id="15" w:name="_Toc527121318"/>
      <w:bookmarkStart w:id="16" w:name="_Toc527121851"/>
      <w:bookmarkStart w:id="17" w:name="_Toc533742397"/>
      <w:bookmarkStart w:id="18" w:name="_Toc533742662"/>
      <w:r>
        <w:rPr>
          <w:noProof/>
        </w:rPr>
        <w:drawing>
          <wp:inline distT="0" distB="0" distL="0" distR="0">
            <wp:extent cx="2967713" cy="2743200"/>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67713" cy="2743200"/>
                    </a:xfrm>
                    <a:prstGeom prst="rect">
                      <a:avLst/>
                    </a:prstGeom>
                    <a:noFill/>
                  </pic:spPr>
                </pic:pic>
              </a:graphicData>
            </a:graphic>
          </wp:inline>
        </w:drawing>
      </w:r>
      <w:bookmarkEnd w:id="15"/>
      <w:bookmarkEnd w:id="16"/>
      <w:bookmarkEnd w:id="17"/>
      <w:bookmarkEnd w:id="18"/>
    </w:p>
    <w:p w:rsidR="001E121C" w:rsidRDefault="001E121C" w:rsidP="001E121C">
      <w:pPr>
        <w:pStyle w:val="ExhibitSource"/>
      </w:pPr>
      <w:bookmarkStart w:id="19" w:name="_Hlk533755310"/>
      <w:r>
        <w:t>Source: Public Sector Consultants</w:t>
      </w:r>
    </w:p>
    <w:p w:rsidR="00EF2E05" w:rsidRDefault="00F93D11" w:rsidP="003304AC">
      <w:pPr>
        <w:pStyle w:val="Heading2"/>
      </w:pPr>
      <w:bookmarkStart w:id="20" w:name="_Toc533742663"/>
      <w:bookmarkEnd w:id="19"/>
      <w:r>
        <w:lastRenderedPageBreak/>
        <w:t>Impact on Cost and Savings</w:t>
      </w:r>
      <w:bookmarkEnd w:id="20"/>
    </w:p>
    <w:p w:rsidR="00EF2E05" w:rsidRDefault="00F0679F" w:rsidP="00EF2E05">
      <w:pPr>
        <w:pStyle w:val="BodyText"/>
      </w:pPr>
      <w:r>
        <w:t xml:space="preserve">Adoption of these best practices </w:t>
      </w:r>
      <w:r w:rsidR="003D2B54">
        <w:t>will affect program impacts</w:t>
      </w:r>
      <w:r>
        <w:t xml:space="preserve"> and </w:t>
      </w:r>
      <w:r w:rsidR="003D2B54">
        <w:t>program delivery costs</w:t>
      </w:r>
      <w:r>
        <w:t xml:space="preserve">. </w:t>
      </w:r>
      <w:r w:rsidR="00EF2E05">
        <w:t>Using data from the utilities’ EWR plans</w:t>
      </w:r>
      <w:r w:rsidR="00AD28AE">
        <w:t xml:space="preserve">, </w:t>
      </w:r>
      <w:r w:rsidR="00EF2E05">
        <w:t xml:space="preserve">annual </w:t>
      </w:r>
      <w:r w:rsidR="00AD28AE">
        <w:t xml:space="preserve">performance </w:t>
      </w:r>
      <w:r w:rsidR="00EF2E05">
        <w:t>reporting</w:t>
      </w:r>
      <w:r w:rsidR="00AD28AE">
        <w:t>,</w:t>
      </w:r>
      <w:r w:rsidR="00EF2E05">
        <w:t xml:space="preserve"> and the statewide and U.P EWR potential studies commissioned by the M</w:t>
      </w:r>
      <w:r w:rsidR="00C63FAC">
        <w:t>PSC</w:t>
      </w:r>
      <w:r w:rsidR="00AD28AE">
        <w:t>, PSC examined impacts of:</w:t>
      </w:r>
      <w:r w:rsidR="008F06A9">
        <w:rPr>
          <w:rStyle w:val="FootnoteReference"/>
        </w:rPr>
        <w:footnoteReference w:id="10"/>
      </w:r>
    </w:p>
    <w:p w:rsidR="00AD28AE" w:rsidRDefault="00AD28AE" w:rsidP="00AD28AE">
      <w:pPr>
        <w:pStyle w:val="BodyText"/>
        <w:numPr>
          <w:ilvl w:val="0"/>
          <w:numId w:val="10"/>
        </w:numPr>
      </w:pPr>
      <w:r>
        <w:t>Modest reductions in selected measure costs</w:t>
      </w:r>
      <w:r w:rsidR="00F0679F">
        <w:t>—</w:t>
      </w:r>
      <w:r w:rsidR="00741785">
        <w:t>partic</w:t>
      </w:r>
      <w:r>
        <w:t xml:space="preserve">ularly </w:t>
      </w:r>
      <w:r w:rsidR="00741785">
        <w:t>for</w:t>
      </w:r>
      <w:r>
        <w:t xml:space="preserve"> measures that are direct</w:t>
      </w:r>
      <w:r w:rsidR="00741785">
        <w:t>ly-</w:t>
      </w:r>
      <w:r w:rsidR="00F0679F">
        <w:t>installed,</w:t>
      </w:r>
      <w:r>
        <w:t xml:space="preserve"> or </w:t>
      </w:r>
      <w:r w:rsidR="00741785">
        <w:t>measures promoted using upstream or midstream tactics where strategic sourcing could yield negotiated price</w:t>
      </w:r>
      <w:r w:rsidR="003D2B54">
        <w:t xml:space="preserve"> </w:t>
      </w:r>
      <w:r w:rsidR="00741785">
        <w:t>reductions</w:t>
      </w:r>
    </w:p>
    <w:p w:rsidR="00F0679F" w:rsidRDefault="00F0679F" w:rsidP="00F0679F">
      <w:pPr>
        <w:pStyle w:val="BodyText"/>
        <w:numPr>
          <w:ilvl w:val="0"/>
          <w:numId w:val="10"/>
        </w:numPr>
      </w:pPr>
      <w:r>
        <w:t>Investments in program delivery infrastructure that would i</w:t>
      </w:r>
      <w:r w:rsidR="003D2B54">
        <w:t xml:space="preserve">ncrease </w:t>
      </w:r>
      <w:r>
        <w:t xml:space="preserve">customer awareness and </w:t>
      </w:r>
      <w:r w:rsidR="003D2B54">
        <w:t xml:space="preserve">improve </w:t>
      </w:r>
      <w:r>
        <w:t xml:space="preserve">participation experiences—these include: research to determine energy consumption characteristics, applicability of energy-efficient technologies, barriers to investment in EWR faced by U.P. residents and businesses, and programmatic strategies to address those barriers; expanded education and outreach efforts; and development of centralized portal that serves a single sources of program information and access </w:t>
      </w:r>
    </w:p>
    <w:p w:rsidR="00741785" w:rsidRDefault="00741785" w:rsidP="00AD28AE">
      <w:pPr>
        <w:pStyle w:val="BodyText"/>
        <w:numPr>
          <w:ilvl w:val="0"/>
          <w:numId w:val="10"/>
        </w:numPr>
      </w:pPr>
      <w:r>
        <w:t>Increased penetration for measures with additional potential—this includes</w:t>
      </w:r>
      <w:r w:rsidR="00F0679F">
        <w:t xml:space="preserve"> 1)</w:t>
      </w:r>
      <w:r>
        <w:t xml:space="preserve"> measures that represent lost-opportunities</w:t>
      </w:r>
      <w:r w:rsidR="007628AB">
        <w:t xml:space="preserve">, i.e., these are measures that like heating or water heating equipment where if high-efficiency is not selected upfront, the opportunity for savings is </w:t>
      </w:r>
      <w:r w:rsidR="00D974FA">
        <w:t>no longer</w:t>
      </w:r>
      <w:r w:rsidR="007628AB">
        <w:t xml:space="preserve"> available until it is time to replace the equipment again</w:t>
      </w:r>
      <w:r w:rsidR="00F0679F">
        <w:t xml:space="preserve"> and 2) increased participation </w:t>
      </w:r>
      <w:r w:rsidR="00D974FA">
        <w:t>by</w:t>
      </w:r>
      <w:r w:rsidR="00F0679F">
        <w:t xml:space="preserve"> customer</w:t>
      </w:r>
      <w:r w:rsidR="00D974FA">
        <w:t xml:space="preserve"> group</w:t>
      </w:r>
      <w:r w:rsidR="00F0679F">
        <w:t>s previously not reached through the programs</w:t>
      </w:r>
    </w:p>
    <w:p w:rsidR="00F0679F" w:rsidRDefault="00F0679F" w:rsidP="00F0679F">
      <w:pPr>
        <w:pStyle w:val="BodyText"/>
      </w:pPr>
      <w:r>
        <w:t xml:space="preserve">There are counteracting effects of these modifications to the existing program portfolios, e.g., reductions in per-unit measure costs would be offset by increased measure adoption. </w:t>
      </w:r>
      <w:r w:rsidR="00936086">
        <w:t>Likewise</w:t>
      </w:r>
      <w:r>
        <w:t>, the upfront investments in program delivery infrastructure should yield efficiencies in program administration and delivery. PSC examined the both the benefit and cost impacts of modifications to the programs offered in the U.P.</w:t>
      </w:r>
      <w:r w:rsidR="00F93D11">
        <w:t xml:space="preserve"> over a ten and 20-year program horizon and calculated levelized cost of conserved energy and benefit-cost ratios from the utility</w:t>
      </w:r>
      <w:r w:rsidR="00AC6435">
        <w:t>/program administrator</w:t>
      </w:r>
      <w:r w:rsidR="00F93D11">
        <w:t xml:space="preserve"> perspective.</w:t>
      </w:r>
      <w:r w:rsidR="00F93D11">
        <w:rPr>
          <w:rStyle w:val="FootnoteReference"/>
        </w:rPr>
        <w:footnoteReference w:id="11"/>
      </w:r>
      <w:r>
        <w:t xml:space="preserve">  </w:t>
      </w:r>
      <w:r w:rsidR="004C2403">
        <w:t xml:space="preserve">PSC looked at both a scenario that would achieve the current 1 percent savings target at the lowest cost as well as a scenario that sought to maximize the impact of an EWR investment equal to 2 percent of utility revenue. </w:t>
      </w:r>
      <w:r w:rsidR="00AD689F">
        <w:t>In both cases, PSC also looked at program portfolios that provide all customers the opportunity to participate. This analysis is shown in Appendix B.</w:t>
      </w:r>
    </w:p>
    <w:p w:rsidR="003304AC" w:rsidRDefault="003304AC" w:rsidP="003304AC">
      <w:pPr>
        <w:pStyle w:val="Heading2"/>
      </w:pPr>
      <w:bookmarkStart w:id="21" w:name="_Toc533742664"/>
      <w:r>
        <w:t>Stakeholder Input</w:t>
      </w:r>
      <w:bookmarkEnd w:id="21"/>
    </w:p>
    <w:p w:rsidR="00AA4BD2" w:rsidRDefault="004C2403" w:rsidP="003304AC">
      <w:pPr>
        <w:pStyle w:val="BodyText"/>
      </w:pPr>
      <w:r>
        <w:t>Throughout the development of the proposed U.P. EWR plan, UPCAP led facilitation of stakeholder input with assistance from PSC. Input was sought through a series of discussion forums hosted by UPCAP</w:t>
      </w:r>
      <w:r w:rsidR="00AA4BD2">
        <w:t xml:space="preserve"> as shown in Exhibit 6</w:t>
      </w:r>
      <w:r>
        <w:t xml:space="preserve">. </w:t>
      </w:r>
    </w:p>
    <w:p w:rsidR="00AA4BD2" w:rsidRDefault="00AA4BD2" w:rsidP="00AA4BD2">
      <w:pPr>
        <w:pStyle w:val="ExhibitTitle"/>
      </w:pPr>
      <w:r>
        <w:lastRenderedPageBreak/>
        <w:t xml:space="preserve">Exhibit </w:t>
      </w:r>
      <w:r>
        <w:rPr>
          <w:noProof/>
        </w:rPr>
        <w:t>6</w:t>
      </w:r>
      <w:r>
        <w:t>: Stakeholder Engagement</w:t>
      </w:r>
    </w:p>
    <w:p w:rsidR="00AA4BD2" w:rsidRDefault="00AA4BD2" w:rsidP="003304AC">
      <w:pPr>
        <w:pStyle w:val="BodyText"/>
      </w:pPr>
      <w:r>
        <w:rPr>
          <w:noProof/>
        </w:rPr>
        <w:drawing>
          <wp:inline distT="0" distB="0" distL="0" distR="0">
            <wp:extent cx="5943600" cy="118878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1188783"/>
                    </a:xfrm>
                    <a:prstGeom prst="rect">
                      <a:avLst/>
                    </a:prstGeom>
                    <a:noFill/>
                  </pic:spPr>
                </pic:pic>
              </a:graphicData>
            </a:graphic>
          </wp:inline>
        </w:drawing>
      </w:r>
    </w:p>
    <w:p w:rsidR="00355FDD" w:rsidRDefault="00AA4BD2" w:rsidP="003304AC">
      <w:pPr>
        <w:pStyle w:val="BodyText"/>
      </w:pPr>
      <w:r>
        <w:t>The U.P. utilities and program administrators described their signi</w:t>
      </w:r>
      <w:r w:rsidR="00B04644">
        <w:t>fi</w:t>
      </w:r>
      <w:r>
        <w:t>cant accomplishments and the</w:t>
      </w:r>
      <w:r w:rsidR="00355FDD">
        <w:t xml:space="preserve"> challenges faced to deliver programs throughout the U.P. They described efforts that are targeted to ensure that statutory savings goals are met while staying with historical spending thresholds. Other stakeholders commended the program efforts but noted gaps in program awareness and availability</w:t>
      </w:r>
      <w:r w:rsidR="00AD689F">
        <w:t>, illustrated in the following comments:</w:t>
      </w:r>
    </w:p>
    <w:p w:rsidR="00355FDD" w:rsidRDefault="00355FDD" w:rsidP="00355FDD">
      <w:pPr>
        <w:pStyle w:val="Quote"/>
      </w:pPr>
      <w:r>
        <w:t>“</w:t>
      </w:r>
      <w:r w:rsidRPr="00355FDD">
        <w:t>Programs are good, but only a fraction of people know about them.</w:t>
      </w:r>
      <w:r>
        <w:t>”</w:t>
      </w:r>
    </w:p>
    <w:p w:rsidR="00355FDD" w:rsidRDefault="00355FDD" w:rsidP="00355FDD">
      <w:pPr>
        <w:pStyle w:val="Quote"/>
      </w:pPr>
      <w:r>
        <w:t>“</w:t>
      </w:r>
      <w:r w:rsidRPr="00355FDD">
        <w:t>Retailers and contractors don’t promote the programs unless you ask about them.</w:t>
      </w:r>
      <w:r>
        <w:t>”</w:t>
      </w:r>
    </w:p>
    <w:p w:rsidR="00355FDD" w:rsidRPr="00355FDD" w:rsidRDefault="00355FDD" w:rsidP="00355FDD">
      <w:pPr>
        <w:pStyle w:val="Quote"/>
      </w:pPr>
      <w:r>
        <w:t>“</w:t>
      </w:r>
      <w:r w:rsidRPr="00355FDD">
        <w:t>Not clear what the first step is or who to contact to participate in programs.</w:t>
      </w:r>
      <w:r>
        <w:t>”</w:t>
      </w:r>
      <w:r w:rsidRPr="00355FDD">
        <w:t xml:space="preserve">  </w:t>
      </w:r>
    </w:p>
    <w:p w:rsidR="00355FDD" w:rsidRPr="00355FDD" w:rsidRDefault="00355FDD" w:rsidP="00355FDD">
      <w:pPr>
        <w:pStyle w:val="BodyText"/>
      </w:pPr>
      <w:r>
        <w:t xml:space="preserve">Stakeholders </w:t>
      </w:r>
      <w:r w:rsidR="00AD689F">
        <w:t>unanimously expressed interest</w:t>
      </w:r>
      <w:r>
        <w:t xml:space="preserve"> in having input in the design of programs in order to re</w:t>
      </w:r>
      <w:r w:rsidR="00AD689F">
        <w:t xml:space="preserve">present </w:t>
      </w:r>
      <w:r>
        <w:t>the needs of their constituencies</w:t>
      </w:r>
      <w:r w:rsidR="00AD689F">
        <w:t xml:space="preserve"> and to help ensure programs addressed those needs.</w:t>
      </w:r>
      <w:r>
        <w:t xml:space="preserve"> </w:t>
      </w:r>
    </w:p>
    <w:p w:rsidR="00AE5741" w:rsidRDefault="00AA4BD2" w:rsidP="003304AC">
      <w:pPr>
        <w:pStyle w:val="BodyText"/>
      </w:pPr>
      <w:r>
        <w:t>In addition</w:t>
      </w:r>
      <w:r w:rsidR="00355FDD">
        <w:t xml:space="preserve"> to the discussion forums</w:t>
      </w:r>
      <w:r w:rsidR="00F0679F">
        <w:t>,</w:t>
      </w:r>
      <w:r>
        <w:t xml:space="preserve"> PSC </w:t>
      </w:r>
      <w:r w:rsidR="00F0679F">
        <w:t xml:space="preserve">conducted a survey of key stakeholders including county commissioners, members of agencies and organizations </w:t>
      </w:r>
      <w:r w:rsidR="004C2403">
        <w:t xml:space="preserve">that represent customers groups or support the implementation of EWR programs. </w:t>
      </w:r>
      <w:r w:rsidR="00355FDD">
        <w:t xml:space="preserve">The survey results echoed feedback shared in the forums. As shown in Exhibit 7, stakeholders </w:t>
      </w:r>
      <w:r w:rsidR="00AE5741">
        <w:t xml:space="preserve">were had higher awareness of programs offered for residents. Less than 40 percent said they were very or somewhat aware for the programs offered for businesses and industry. </w:t>
      </w:r>
    </w:p>
    <w:p w:rsidR="00F93EC2" w:rsidRDefault="00F93EC2" w:rsidP="003304AC">
      <w:pPr>
        <w:pStyle w:val="BodyText"/>
      </w:pPr>
      <w:r>
        <w:t>Stakeholders were also</w:t>
      </w:r>
      <w:r w:rsidR="00AD689F">
        <w:t xml:space="preserve"> asked</w:t>
      </w:r>
      <w:r>
        <w:t xml:space="preserve"> about their perceptions of the awareness of residents and businesses of the available programs and services. Stakeholders estimated less than one-quarter of residents and businesses has any awareness of programs. </w:t>
      </w:r>
    </w:p>
    <w:p w:rsidR="00AE5741" w:rsidRDefault="00AE5741">
      <w:pPr>
        <w:rPr>
          <w:rFonts w:ascii="Georgia" w:hAnsi="Georgia"/>
          <w:color w:val="000000" w:themeColor="text1"/>
          <w:sz w:val="20"/>
          <w:szCs w:val="18"/>
        </w:rPr>
      </w:pPr>
      <w:r>
        <w:br w:type="page"/>
      </w:r>
    </w:p>
    <w:p w:rsidR="00F0679F" w:rsidRDefault="00F0679F" w:rsidP="00F0679F">
      <w:pPr>
        <w:pStyle w:val="ExhibitTitle"/>
      </w:pPr>
      <w:r>
        <w:lastRenderedPageBreak/>
        <w:t xml:space="preserve">Exhibit </w:t>
      </w:r>
      <w:r w:rsidR="00355FDD">
        <w:rPr>
          <w:noProof/>
        </w:rPr>
        <w:t>7</w:t>
      </w:r>
      <w:r>
        <w:t xml:space="preserve">: </w:t>
      </w:r>
      <w:r w:rsidR="00E527C5">
        <w:t xml:space="preserve">Stakeholder </w:t>
      </w:r>
      <w:r>
        <w:t>Awareness of Programs</w:t>
      </w:r>
    </w:p>
    <w:p w:rsidR="003304AC" w:rsidRDefault="00F0679F" w:rsidP="00A41F03">
      <w:pPr>
        <w:pStyle w:val="BodyText"/>
      </w:pPr>
      <w:r w:rsidRPr="00F0679F">
        <w:rPr>
          <w:noProof/>
        </w:rPr>
        <w:drawing>
          <wp:inline distT="0" distB="0" distL="0" distR="0">
            <wp:extent cx="5943600" cy="2560320"/>
            <wp:effectExtent l="0" t="0" r="0" b="0"/>
            <wp:docPr id="13" name="Chart 1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B694684-C143-4AF5-8E3A-791C71C0FA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E5741" w:rsidRDefault="00AE5741" w:rsidP="00AE5741">
      <w:pPr>
        <w:pStyle w:val="ExhibitSource"/>
        <w:keepLines w:val="0"/>
      </w:pPr>
      <w:r>
        <w:t xml:space="preserve">Source: </w:t>
      </w:r>
      <w:r w:rsidRPr="00AE5741">
        <w:t>Source: PSC survey of local government and non-profit agency staff in the U.P. (n=32)</w:t>
      </w:r>
    </w:p>
    <w:p w:rsidR="00E527C5" w:rsidRDefault="00E527C5" w:rsidP="00E527C5">
      <w:pPr>
        <w:pStyle w:val="ExhibitTitle"/>
      </w:pPr>
      <w:r>
        <w:t>Exhibit 8. Resident and Business Awareness of Programs</w:t>
      </w:r>
    </w:p>
    <w:p w:rsidR="003304AC" w:rsidRDefault="00AE5741" w:rsidP="007401BA">
      <w:pPr>
        <w:pStyle w:val="BodyText"/>
        <w:jc w:val="center"/>
      </w:pPr>
      <w:r w:rsidRPr="00AE5741">
        <w:rPr>
          <w:noProof/>
        </w:rPr>
        <w:drawing>
          <wp:inline distT="0" distB="0" distL="0" distR="0">
            <wp:extent cx="4572000" cy="2743200"/>
            <wp:effectExtent l="0" t="0" r="0" b="0"/>
            <wp:docPr id="1034" name="Chart 103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789E557-904B-4795-9A38-82E3B4705F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527C5" w:rsidRDefault="00E527C5" w:rsidP="00E527C5">
      <w:pPr>
        <w:pStyle w:val="ExhibitSource"/>
        <w:keepLines w:val="0"/>
      </w:pPr>
      <w:r>
        <w:t xml:space="preserve">Source: </w:t>
      </w:r>
      <w:r w:rsidRPr="00AE5741">
        <w:t>PSC survey of local government and non-profit agency staff in the U.P. (n=32)</w:t>
      </w:r>
    </w:p>
    <w:p w:rsidR="004D7AE7" w:rsidRDefault="004D7AE7" w:rsidP="004D7AE7">
      <w:pPr>
        <w:pStyle w:val="BodyText"/>
      </w:pPr>
      <w:r>
        <w:t xml:space="preserve">When asked about what factors made it difficult for U.P. residents and businesses to pursue EWR opportunities, three-quarters of respondents indicated that lack of knowledge was a primary </w:t>
      </w:r>
      <w:r w:rsidR="008F1722">
        <w:t xml:space="preserve">deterrent as shown in Figure 9. Long payback periods and higher cost of energy-efficient technologies were identified as barriers by 44 percent and 31 percent of respondents respectively. </w:t>
      </w:r>
      <w:r w:rsidR="003D664D">
        <w:t>Availability of energy-efficient technologies and skilled contractors to install those technologies w</w:t>
      </w:r>
      <w:r w:rsidR="007401BA">
        <w:t xml:space="preserve">as not seen as a significant barrier. </w:t>
      </w:r>
    </w:p>
    <w:p w:rsidR="008F1722" w:rsidRDefault="008F1722" w:rsidP="004D7AE7">
      <w:pPr>
        <w:pStyle w:val="BodyText"/>
      </w:pPr>
    </w:p>
    <w:p w:rsidR="008F1722" w:rsidRDefault="008F1722" w:rsidP="008F1722">
      <w:pPr>
        <w:pStyle w:val="ExhibitTitle"/>
      </w:pPr>
      <w:r>
        <w:lastRenderedPageBreak/>
        <w:t>Exhibit 9. Barriers to Investment in Energy-efficient Technologies</w:t>
      </w:r>
    </w:p>
    <w:p w:rsidR="00E527C5" w:rsidRDefault="004D7AE7" w:rsidP="00A41F03">
      <w:pPr>
        <w:pStyle w:val="BodyText"/>
      </w:pPr>
      <w:r w:rsidRPr="004D7AE7">
        <w:rPr>
          <w:noProof/>
        </w:rPr>
        <w:drawing>
          <wp:inline distT="0" distB="0" distL="0" distR="0">
            <wp:extent cx="5943600" cy="2743200"/>
            <wp:effectExtent l="0" t="0" r="0" b="0"/>
            <wp:docPr id="1035" name="Chart 103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79641E1-6E37-4A63-AE5F-E0BDB5AFED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F1722" w:rsidRDefault="008F1722" w:rsidP="008F1722">
      <w:pPr>
        <w:pStyle w:val="ExhibitSource"/>
        <w:keepLines w:val="0"/>
      </w:pPr>
      <w:r>
        <w:t xml:space="preserve">Source: </w:t>
      </w:r>
      <w:r w:rsidRPr="00AE5741">
        <w:t>PSC survey of local government and non-profit agency staff in the U.P. (n=32)</w:t>
      </w:r>
    </w:p>
    <w:p w:rsidR="007401BA" w:rsidRDefault="007401BA" w:rsidP="007401BA">
      <w:pPr>
        <w:pStyle w:val="BodyText"/>
      </w:pPr>
      <w:r>
        <w:t>Stakeholders offered the following suggestions to enhance the current program offerings:</w:t>
      </w:r>
    </w:p>
    <w:p w:rsidR="007401BA" w:rsidRDefault="007401BA" w:rsidP="007401BA">
      <w:pPr>
        <w:pStyle w:val="Quote"/>
      </w:pPr>
      <w:r w:rsidRPr="007401BA">
        <w:t>More PR</w:t>
      </w:r>
      <w:r>
        <w:t xml:space="preserve"> [public relations]</w:t>
      </w:r>
      <w:r w:rsidRPr="007401BA">
        <w:t xml:space="preserve"> in newspapers, radio talk shows, and flyers.</w:t>
      </w:r>
    </w:p>
    <w:p w:rsidR="007401BA" w:rsidRDefault="007401BA" w:rsidP="007401BA">
      <w:pPr>
        <w:pStyle w:val="Quote"/>
      </w:pPr>
      <w:r w:rsidRPr="007401BA">
        <w:t>Better communication between energy company and consumer; more face-to-face presentations.</w:t>
      </w:r>
    </w:p>
    <w:p w:rsidR="007401BA" w:rsidRDefault="007401BA" w:rsidP="007401BA">
      <w:pPr>
        <w:pStyle w:val="Quote"/>
      </w:pPr>
      <w:r w:rsidRPr="007401BA">
        <w:t>More transparency and more localized efforts to educate utility customers as on how to take advantage of rebates/ programs/etc.</w:t>
      </w:r>
    </w:p>
    <w:p w:rsidR="007401BA" w:rsidRPr="007401BA" w:rsidRDefault="007401BA" w:rsidP="007401BA">
      <w:pPr>
        <w:pStyle w:val="BodyText"/>
      </w:pPr>
      <w:r>
        <w:t xml:space="preserve">These recommendations align </w:t>
      </w:r>
      <w:r w:rsidR="00521FC9">
        <w:t xml:space="preserve">with recommendations resulting from the best practices review conducted by PSC. The process of program participation begins with program awareness and builds from there. Once customers become aware of programs, they need a relative easy process to turn their knowledge into action. </w:t>
      </w:r>
      <w:r>
        <w:t xml:space="preserve"> </w:t>
      </w:r>
    </w:p>
    <w:p w:rsidR="003304AC" w:rsidRDefault="003304AC" w:rsidP="003304AC">
      <w:pPr>
        <w:pStyle w:val="Heading1"/>
      </w:pPr>
      <w:bookmarkStart w:id="22" w:name="_Toc533742665"/>
      <w:r>
        <w:t>Path Forward</w:t>
      </w:r>
      <w:bookmarkEnd w:id="22"/>
    </w:p>
    <w:p w:rsidR="00A41F03" w:rsidRDefault="00A41F03" w:rsidP="00A41F03">
      <w:pPr>
        <w:pStyle w:val="BodyText"/>
      </w:pPr>
      <w:r>
        <w:t xml:space="preserve">Robust EWR programs will provide significant benefits to the U.P. residents, businesses, and industry; investing in EWR at the Strategic Portfolio Level delivers significantly increased benefits to the U.P at a comparatively small incremental cost. Building on the success of the EWR programs to date, focused program enhancements can lower cost, improve program applicability and accessibility, and ensure that all residents of the U.P. have continued opportunities to participate. </w:t>
      </w:r>
    </w:p>
    <w:p w:rsidR="00A41F03" w:rsidRDefault="00A41F03" w:rsidP="00A41F03">
      <w:pPr>
        <w:pStyle w:val="BodyText"/>
      </w:pPr>
      <w:r>
        <w:t xml:space="preserve">Implementing recommended strategies for enhancing EWR programs in the U.P. will require enhanced collaboration amongst utilities and program administrators and other stakeholders. This will include a coordinated process for program design, monitoring of program implementation, identification of research or evaluation to support decision making, and development of consistent messaging and </w:t>
      </w:r>
      <w:r>
        <w:lastRenderedPageBreak/>
        <w:t xml:space="preserve">outreach strategies. </w:t>
      </w:r>
      <w:r w:rsidR="003304AC">
        <w:t>First and foremost, this process should keep the needs and preferences of U.P. residents and businesses in mind.</w:t>
      </w:r>
    </w:p>
    <w:p w:rsidR="00A41F03" w:rsidRDefault="00A41F03" w:rsidP="00A41F03">
      <w:pPr>
        <w:pStyle w:val="BodyText"/>
      </w:pPr>
      <w:r>
        <w:t>The statewide EWR collaborative has been successful in bringing together a broad range of stakeholders each month. This group has been effective in identifying new EWR opportunities, sharing best practices, gathering input from multiple perspectives, engaging market actors and helping to move Michigan from the bottom quartile on the American Council for an Energy-Efficient Economy State Scorecard in 2008 to number 11 in 2016 and 2017.</w:t>
      </w:r>
      <w:r>
        <w:rPr>
          <w:rStyle w:val="FootnoteReference"/>
        </w:rPr>
        <w:footnoteReference w:id="12"/>
      </w:r>
      <w:r>
        <w:rPr>
          <w:vertAlign w:val="superscript"/>
        </w:rPr>
        <w:t>,</w:t>
      </w:r>
      <w:r>
        <w:rPr>
          <w:rStyle w:val="FootnoteReference"/>
        </w:rPr>
        <w:footnoteReference w:id="13"/>
      </w:r>
      <w:r>
        <w:t xml:space="preserve"> While this collaborative effort has served the state as a whole, the U.P. may not be fully represented. Program administrators and utility representatives from the U.P. attend collaborative meetings in-person or by phone. However, other stakeholders are unable to participate, and the agenda is not focused on issues most important to the U.P. </w:t>
      </w:r>
    </w:p>
    <w:p w:rsidR="001E121C" w:rsidRDefault="00A41F03" w:rsidP="001E121C">
      <w:pPr>
        <w:pStyle w:val="BodyText"/>
      </w:pPr>
      <w:r>
        <w:t>Establishment of a U.P.-focused collaborative process is recommended. The U.P. EWR collaborative would meet periodically with the objective of instituting strategies that: address barriers to investment in EWR that are specific to the U.P.; maximize net benefits; ensure program participation options for all U.P. residents and businesses; effectively meet the resource needs; and attract available funding and investment to advance EWR.</w:t>
      </w:r>
    </w:p>
    <w:p w:rsidR="009B2C08" w:rsidRDefault="00F563A9" w:rsidP="001E121C">
      <w:pPr>
        <w:pStyle w:val="BodyText"/>
      </w:pPr>
      <w:r>
        <w:t xml:space="preserve">While program uniformity has significant benefits in terms of consistency in implementation processes and customer expectations, it is necessary to balance those benefits against the diversity of customer needs and preferences. </w:t>
      </w:r>
      <w:r w:rsidR="009B2C08">
        <w:t xml:space="preserve">The collaborative process should provide a forum for determining which program strategies will work best for U.P. customers based on a clear understanding of needs and preferences. Figure 10 shows a process that the U.P. EWR collaborative could follow to develop and deploy an enhanced or optimized program portfolio. This process could terminate in the development and launch of a plan or could be an iterative </w:t>
      </w:r>
      <w:r w:rsidR="00484D0C">
        <w:t xml:space="preserve">process informed by periodic evaluation of program performance. </w:t>
      </w:r>
      <w:r w:rsidR="00521FC9">
        <w:t xml:space="preserve">The iterative process supports continuous improvement of program based on lessons learned through program implementation and adaptation to changing market conditions. </w:t>
      </w:r>
    </w:p>
    <w:p w:rsidR="00484D0C" w:rsidRDefault="00484D0C" w:rsidP="00484D0C">
      <w:pPr>
        <w:pStyle w:val="ExhibitTitle"/>
      </w:pPr>
      <w:r>
        <w:lastRenderedPageBreak/>
        <w:t>Exhibit 10. Collaborative Process for the U.P. EWR Collaborative</w:t>
      </w:r>
    </w:p>
    <w:p w:rsidR="009B2C08" w:rsidRDefault="009B2C08" w:rsidP="00484D0C">
      <w:pPr>
        <w:pStyle w:val="BodyText"/>
        <w:jc w:val="center"/>
      </w:pPr>
      <w:r>
        <w:rPr>
          <w:noProof/>
        </w:rPr>
        <w:drawing>
          <wp:inline distT="0" distB="0" distL="0" distR="0">
            <wp:extent cx="3724275" cy="4476750"/>
            <wp:effectExtent l="0" t="0" r="0" b="0"/>
            <wp:docPr id="1059" name="Picture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19053" b="1852"/>
                    <a:stretch/>
                  </pic:blipFill>
                  <pic:spPr bwMode="auto">
                    <a:xfrm>
                      <a:off x="0" y="0"/>
                      <a:ext cx="3730214" cy="448388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484D0C" w:rsidRDefault="00484D0C" w:rsidP="00484D0C">
      <w:pPr>
        <w:pStyle w:val="ExhibitSource"/>
      </w:pPr>
      <w:r>
        <w:t>Source: Public Sector Consultants</w:t>
      </w:r>
    </w:p>
    <w:p w:rsidR="00484D0C" w:rsidRPr="001E121C" w:rsidRDefault="00484D0C" w:rsidP="00484D0C">
      <w:pPr>
        <w:pStyle w:val="BodyText"/>
      </w:pPr>
      <w:r>
        <w:t>The U.P. benefits from the number of engaged stakeholders committed to a successful EWR initiative to support affordable, clean, and reliable energy resources for the region. The utilities and program implementers bring a wealth of knowledge and</w:t>
      </w:r>
      <w:r w:rsidR="00044B31">
        <w:t xml:space="preserve"> program</w:t>
      </w:r>
      <w:r>
        <w:t xml:space="preserve"> experience</w:t>
      </w:r>
      <w:r w:rsidR="00044B31">
        <w:t>,</w:t>
      </w:r>
      <w:r>
        <w:t xml:space="preserve"> both in the U.P. and throughout the state. </w:t>
      </w:r>
      <w:r w:rsidR="00044B31">
        <w:t>Combining the commitment and resources of these groups to intentionally design and develop programs for U.P. customers</w:t>
      </w:r>
      <w:r w:rsidR="00521FC9">
        <w:t>,</w:t>
      </w:r>
      <w:r w:rsidR="00044B31">
        <w:t xml:space="preserve"> using a process</w:t>
      </w:r>
      <w:r w:rsidR="00521FC9">
        <w:t xml:space="preserve"> that has demonstrated success for state as a whole</w:t>
      </w:r>
      <w:r w:rsidR="00044B31">
        <w:t xml:space="preserve">, will ensure realization of the substantial benefits available from reduced energy waste.  </w:t>
      </w:r>
    </w:p>
    <w:p w:rsidR="001E121C" w:rsidRDefault="001E121C">
      <w:pPr>
        <w:rPr>
          <w:rFonts w:ascii="Swis721 Cn BT" w:eastAsiaTheme="majorEastAsia" w:hAnsi="Swis721 Cn BT" w:cstheme="majorBidi"/>
          <w:b/>
          <w:bCs/>
          <w:iCs/>
          <w:caps/>
          <w:color w:val="FFB602"/>
          <w:sz w:val="36"/>
          <w:szCs w:val="36"/>
        </w:rPr>
      </w:pPr>
      <w:r>
        <w:br w:type="page"/>
      </w:r>
    </w:p>
    <w:p w:rsidR="00F31F3C" w:rsidRDefault="001E121C" w:rsidP="00F31F3C">
      <w:pPr>
        <w:pStyle w:val="Heading1"/>
      </w:pPr>
      <w:bookmarkStart w:id="23" w:name="_Toc533742666"/>
      <w:r>
        <w:lastRenderedPageBreak/>
        <w:t xml:space="preserve">APPENDIX A: </w:t>
      </w:r>
      <w:r w:rsidR="00F31F3C">
        <w:t>Portfolio</w:t>
      </w:r>
      <w:r w:rsidR="00A678CE">
        <w:t>-</w:t>
      </w:r>
      <w:r w:rsidR="00B772DA">
        <w:t>l</w:t>
      </w:r>
      <w:r w:rsidR="00F31F3C">
        <w:t>evel Strategies</w:t>
      </w:r>
      <w:bookmarkEnd w:id="23"/>
    </w:p>
    <w:p w:rsidR="00F31F3C" w:rsidRDefault="00F31F3C" w:rsidP="00F31F3C">
      <w:pPr>
        <w:pStyle w:val="BodyText"/>
      </w:pPr>
      <w:r>
        <w:t>The proposed plan for administration of EWR programs uses five portfolio</w:t>
      </w:r>
      <w:r w:rsidR="00A678CE">
        <w:t>-</w:t>
      </w:r>
      <w:r>
        <w:t>level strategies to reduce program cost, improve customer experience, attract trade allies, and maximize program impacts. Because these strategies relate to increased coordination, consistency, and leveraging of resources, expanded collaboration between utilities and service providers is required</w:t>
      </w:r>
      <w:r w:rsidR="001E121C">
        <w:t xml:space="preserve"> to deploy these strategies</w:t>
      </w:r>
      <w:r>
        <w:t xml:space="preserve">. </w:t>
      </w:r>
      <w:r w:rsidR="001E121C">
        <w:t xml:space="preserve">Expected </w:t>
      </w:r>
      <w:r>
        <w:t xml:space="preserve">impacts are described </w:t>
      </w:r>
      <w:r w:rsidR="00E03384">
        <w:t>in this section</w:t>
      </w:r>
      <w:r>
        <w:t>.</w:t>
      </w:r>
    </w:p>
    <w:p w:rsidR="00F31F3C" w:rsidRDefault="00F31F3C" w:rsidP="006A2935">
      <w:pPr>
        <w:pStyle w:val="Heading2"/>
      </w:pPr>
      <w:bookmarkStart w:id="24" w:name="_Toc533742667"/>
      <w:r>
        <w:t>Uniform Program Design and Requirements</w:t>
      </w:r>
      <w:bookmarkEnd w:id="24"/>
      <w:r>
        <w:t xml:space="preserve"> </w:t>
      </w:r>
    </w:p>
    <w:p w:rsidR="00F31F3C" w:rsidRDefault="00F31F3C" w:rsidP="00F31F3C">
      <w:pPr>
        <w:pStyle w:val="BodyText"/>
      </w:pPr>
      <w:r>
        <w:t>The current program offerings from</w:t>
      </w:r>
      <w:r w:rsidR="00DA4A8D">
        <w:t xml:space="preserve"> Efficiency UNITED and the MECA Collaborative,</w:t>
      </w:r>
      <w:r>
        <w:t xml:space="preserve"> the two program implementers operating in the U.P.</w:t>
      </w:r>
      <w:r w:rsidR="00DA4A8D">
        <w:t>,</w:t>
      </w:r>
      <w:r>
        <w:t xml:space="preserve"> have several common elements</w:t>
      </w:r>
      <w:r w:rsidR="00DA4A8D">
        <w:t>. However,</w:t>
      </w:r>
      <w:r>
        <w:t xml:space="preserve"> even nuanced differences between providers can be difficult for different market actors to navigate. Each of the two primary implementers have different incentive levels and different application requirements for many of the same measures. </w:t>
      </w:r>
    </w:p>
    <w:p w:rsidR="00F31F3C" w:rsidRDefault="00F31F3C" w:rsidP="00F31F3C">
      <w:pPr>
        <w:pStyle w:val="BodyText"/>
      </w:pPr>
      <w:r>
        <w:t xml:space="preserve">For example, customers </w:t>
      </w:r>
      <w:r w:rsidR="005A6673">
        <w:t xml:space="preserve">currently </w:t>
      </w:r>
      <w:r>
        <w:t xml:space="preserve">served by the MECA </w:t>
      </w:r>
      <w:r w:rsidR="00B772DA">
        <w:t>C</w:t>
      </w:r>
      <w:r>
        <w:t xml:space="preserve">ollaborative </w:t>
      </w:r>
      <w:r w:rsidR="007342CE">
        <w:t>may receive</w:t>
      </w:r>
      <w:r>
        <w:t xml:space="preserve"> a $75 incentive for a </w:t>
      </w:r>
      <w:r w:rsidR="00A678CE">
        <w:t>W</w:t>
      </w:r>
      <w:r>
        <w:t>i-</w:t>
      </w:r>
      <w:r w:rsidR="00A678CE">
        <w:t>F</w:t>
      </w:r>
      <w:r>
        <w:t>i</w:t>
      </w:r>
      <w:r w:rsidR="00A678CE">
        <w:t>-</w:t>
      </w:r>
      <w:r>
        <w:t>enabled thermostat or a</w:t>
      </w:r>
      <w:r w:rsidR="005A6673">
        <w:t>n</w:t>
      </w:r>
      <w:r>
        <w:t xml:space="preserve"> occupancy-sensing </w:t>
      </w:r>
      <w:r w:rsidR="005A6673">
        <w:t xml:space="preserve">smart </w:t>
      </w:r>
      <w:r>
        <w:t>thermostat. Customers get th</w:t>
      </w:r>
      <w:r w:rsidR="005A6673">
        <w:t>is</w:t>
      </w:r>
      <w:r>
        <w:t xml:space="preserve"> incentive by submitting an application along with documentation of purchase price, manufacturer, and model number</w:t>
      </w:r>
      <w:r w:rsidR="007342CE">
        <w:t xml:space="preserve"> by mail</w:t>
      </w:r>
      <w:r>
        <w:t>.</w:t>
      </w:r>
      <w:r>
        <w:rPr>
          <w:rStyle w:val="FootnoteReference"/>
        </w:rPr>
        <w:footnoteReference w:id="14"/>
      </w:r>
      <w:r>
        <w:t xml:space="preserve"> Customers of neighboring utilities where </w:t>
      </w:r>
      <w:r w:rsidR="000C2127">
        <w:t>Efficiency UNITED</w:t>
      </w:r>
      <w:r>
        <w:t xml:space="preserve"> is the implementer can get a $15 rebate for a programmable thermostat or $70 for a </w:t>
      </w:r>
      <w:r w:rsidR="00A678CE">
        <w:t>W</w:t>
      </w:r>
      <w:r>
        <w:t>i-</w:t>
      </w:r>
      <w:r w:rsidR="00A678CE">
        <w:t>F</w:t>
      </w:r>
      <w:r>
        <w:t>i</w:t>
      </w:r>
      <w:r w:rsidR="005A6673">
        <w:t>-</w:t>
      </w:r>
      <w:r>
        <w:t xml:space="preserve">enabled thermostat. Along with the documentation required by the MECA </w:t>
      </w:r>
      <w:r w:rsidR="00B772DA">
        <w:t>C</w:t>
      </w:r>
      <w:r>
        <w:t xml:space="preserve">ollaborative utilities, </w:t>
      </w:r>
      <w:r w:rsidR="000C2127">
        <w:t>Efficiency UNITED</w:t>
      </w:r>
      <w:r>
        <w:t xml:space="preserve"> customers must submit a copy of their electric bill.</w:t>
      </w:r>
      <w:r>
        <w:rPr>
          <w:rStyle w:val="FootnoteReference"/>
        </w:rPr>
        <w:footnoteReference w:id="15"/>
      </w:r>
      <w:r>
        <w:t xml:space="preserve"> </w:t>
      </w:r>
    </w:p>
    <w:p w:rsidR="00F31F3C" w:rsidRPr="0098576A" w:rsidRDefault="00F31F3C" w:rsidP="00F31F3C">
      <w:pPr>
        <w:pStyle w:val="BodyText"/>
      </w:pPr>
      <w:r>
        <w:t>On the commercial and industrial side, each of the implementers publishes an annual catalog that lists all measures qualify</w:t>
      </w:r>
      <w:r w:rsidR="007342CE">
        <w:t>ing</w:t>
      </w:r>
      <w:r>
        <w:t xml:space="preserve"> for prescriptive, or set, incentives. While there are some similarities between the two catalogs, there are numerous differences in measure descriptions, required efficiency levels, and incentives offered</w:t>
      </w:r>
      <w:r w:rsidR="00F44604">
        <w:t>, which</w:t>
      </w:r>
      <w:r w:rsidR="00DA4A8D">
        <w:t xml:space="preserve"> again, can be difficult for trade allies and businesses operating across utility service territories to discern. This</w:t>
      </w:r>
      <w:r>
        <w:t xml:space="preserve"> can result is dissatisfaction from customers expecting a certain incentive that may be different or even nonexistent depending on their utility’s program mix. Trade allies that work across service areas must account for these program differences when promoting </w:t>
      </w:r>
      <w:r w:rsidR="005A6673">
        <w:t xml:space="preserve">and </w:t>
      </w:r>
      <w:r>
        <w:t>designing solutions for customers. Customers may have sites in different utility service territories, requiring similar tracking and differentiation</w:t>
      </w:r>
      <w:r w:rsidR="00F44604">
        <w:t>, or if</w:t>
      </w:r>
      <w:r>
        <w:t xml:space="preserve"> the trade ally or customer </w:t>
      </w:r>
      <w:r w:rsidR="005A6673">
        <w:t>make a mistake during</w:t>
      </w:r>
      <w:r>
        <w:t xml:space="preserve"> document</w:t>
      </w:r>
      <w:r w:rsidR="005A6673">
        <w:t xml:space="preserve"> submission</w:t>
      </w:r>
      <w:r>
        <w:t xml:space="preserve">, the application for incentives can be </w:t>
      </w:r>
      <w:r w:rsidR="005A6673">
        <w:t>delayed</w:t>
      </w:r>
      <w:r>
        <w:t xml:space="preserve"> several weeks. Creating common program designs will reduce frustration for customers and trade allies and may help to increase participation. It can also help to reduce the cost of administering programs.</w:t>
      </w:r>
    </w:p>
    <w:p w:rsidR="00F31F3C" w:rsidRDefault="00F31F3C" w:rsidP="00D728A1">
      <w:pPr>
        <w:pStyle w:val="Heading2"/>
      </w:pPr>
      <w:bookmarkStart w:id="25" w:name="_Toc533742668"/>
      <w:r>
        <w:t>U.P.</w:t>
      </w:r>
      <w:r w:rsidR="00A075DF">
        <w:t>-</w:t>
      </w:r>
      <w:r w:rsidR="00B772DA">
        <w:t>f</w:t>
      </w:r>
      <w:r>
        <w:t>ocused Trade Ally Network</w:t>
      </w:r>
      <w:bookmarkEnd w:id="25"/>
      <w:r>
        <w:t xml:space="preserve"> </w:t>
      </w:r>
    </w:p>
    <w:p w:rsidR="00F31F3C" w:rsidRDefault="00F31F3C" w:rsidP="00F31F3C">
      <w:pPr>
        <w:pStyle w:val="BodyText"/>
      </w:pPr>
      <w:r>
        <w:t>There are significant gaps in the network of trade allies needed to effectively deliver energy</w:t>
      </w:r>
      <w:r w:rsidR="001714E5">
        <w:t>-</w:t>
      </w:r>
      <w:r>
        <w:t xml:space="preserve">efficient technologies and services to residents and businesses in the U.P. Trade allies play a critical role in the </w:t>
      </w:r>
      <w:r>
        <w:lastRenderedPageBreak/>
        <w:t xml:space="preserve">success of program implementation, especially related to more comprehensive, long-life measures such as heating and cooling systems, industrial process equipment, and other technologies that require professional installation and/or commission to operate at peak efficiency. Trade allies help to market programs and technologies, screen customers for applicability, and often submit project documentation to initiate payment of incentives </w:t>
      </w:r>
      <w:r w:rsidR="00997FBD">
        <w:t xml:space="preserve">for participants. </w:t>
      </w:r>
    </w:p>
    <w:p w:rsidR="00F31F3C" w:rsidRDefault="00F31F3C" w:rsidP="00F31F3C">
      <w:pPr>
        <w:pStyle w:val="BodyText"/>
      </w:pPr>
      <w:r>
        <w:t>Development of a U.P.</w:t>
      </w:r>
      <w:r w:rsidR="00F55C91">
        <w:t>-</w:t>
      </w:r>
      <w:r>
        <w:t>focused trade ally network would begin with an inventory of existing contactors in the region, noting their historical participation in utility programs. This inventory would be compared to the program offerings and expected participation</w:t>
      </w:r>
      <w:r w:rsidR="00447C12">
        <w:t xml:space="preserve"> </w:t>
      </w:r>
      <w:r>
        <w:t xml:space="preserve">to gain a sense of the needed trade ally capacity and skillsets. Any gaps would be noted, and recruitment efforts would be initiated to fill those gaps. To encourage trade ally participation in the network, there must be a value proposition. The value proposition from a well-run program includes the opportunity to offer incentives, access to training, and the opportunity for recognition as a quality provider. </w:t>
      </w:r>
    </w:p>
    <w:p w:rsidR="00F31F3C" w:rsidRDefault="00F31F3C" w:rsidP="00F31F3C">
      <w:pPr>
        <w:pStyle w:val="BodyText"/>
      </w:pPr>
      <w:r>
        <w:t>The effort to cultivate and manage an effective trade ally network is a significant undertaking for even the largest utility operating in the U.P., but development of a centralized network to serve all of the U.P. is a manageable task for a centralized program implementer. A centralized effort could support rigor in screening of potential trade allies; regular communications with trade allies</w:t>
      </w:r>
      <w:r w:rsidR="005F7E5D">
        <w:t>,</w:t>
      </w:r>
      <w:r>
        <w:t xml:space="preserve"> includ</w:t>
      </w:r>
      <w:r w:rsidR="00B772DA">
        <w:t>ing</w:t>
      </w:r>
      <w:r>
        <w:t xml:space="preserve"> periodic surveys of trade ally experiences and preferences; development of a resource portal for trade allies to access program information and submit project applications; training curriculums that support trade ally sales efforts, introduce new and emerging technologies, and promote best practices; and a recognition system built around activity levels, quality of work performed, and feedback from U.P. residents and businesses served by the trade allies.</w:t>
      </w:r>
      <w:r w:rsidR="00CB2440">
        <w:t xml:space="preserve"> </w:t>
      </w:r>
    </w:p>
    <w:p w:rsidR="00F31F3C" w:rsidRDefault="00592DB9" w:rsidP="00D728A1">
      <w:pPr>
        <w:pStyle w:val="Heading2"/>
      </w:pPr>
      <w:bookmarkStart w:id="26" w:name="_Toc533742669"/>
      <w:r>
        <w:t>Smart Purchasing (</w:t>
      </w:r>
      <w:r w:rsidR="00F31F3C">
        <w:t xml:space="preserve">Bulk </w:t>
      </w:r>
      <w:r>
        <w:t>Buying</w:t>
      </w:r>
      <w:r w:rsidR="00F31F3C">
        <w:t xml:space="preserve"> and/or Competitive Bidding</w:t>
      </w:r>
      <w:r>
        <w:t>)</w:t>
      </w:r>
      <w:bookmarkEnd w:id="26"/>
      <w:r w:rsidR="00F31F3C">
        <w:t xml:space="preserve"> </w:t>
      </w:r>
    </w:p>
    <w:p w:rsidR="00F31F3C" w:rsidRDefault="00F31F3C" w:rsidP="00F31F3C">
      <w:pPr>
        <w:pStyle w:val="BodyText"/>
      </w:pPr>
      <w:r>
        <w:t xml:space="preserve">For measures that have wide applicability, significant savings, and are projected to be installed in significant volume, bulk purchasing or competitive bidding can be used to reduce the cost of procuring and/or installing measures. This process can also be used to influence the stocking practices of local </w:t>
      </w:r>
      <w:r w:rsidR="007608FA">
        <w:t xml:space="preserve">retailers </w:t>
      </w:r>
      <w:r>
        <w:t>or contractors to ensure that the most efficient equipment is readily available in the program area. While not an exhaustive list, measures for which this strategy could be employed include:</w:t>
      </w:r>
    </w:p>
    <w:p w:rsidR="00F31F3C" w:rsidRDefault="00F31F3C" w:rsidP="00F31F3C">
      <w:pPr>
        <w:pStyle w:val="ListBullet"/>
      </w:pPr>
      <w:r>
        <w:t>Wi-</w:t>
      </w:r>
      <w:r w:rsidR="00B772DA">
        <w:t>F</w:t>
      </w:r>
      <w:r>
        <w:t xml:space="preserve">i thermostats </w:t>
      </w:r>
    </w:p>
    <w:p w:rsidR="00F31F3C" w:rsidRDefault="00F31F3C" w:rsidP="00F31F3C">
      <w:pPr>
        <w:pStyle w:val="ListBullet"/>
      </w:pPr>
      <w:r>
        <w:t xml:space="preserve">Consumer electronics </w:t>
      </w:r>
    </w:p>
    <w:p w:rsidR="00F31F3C" w:rsidRDefault="00F31F3C" w:rsidP="00F31F3C">
      <w:pPr>
        <w:pStyle w:val="ListBullet"/>
      </w:pPr>
      <w:r>
        <w:t>High-efficiency furnaces</w:t>
      </w:r>
    </w:p>
    <w:p w:rsidR="00F31F3C" w:rsidRDefault="00B772DA" w:rsidP="00F31F3C">
      <w:pPr>
        <w:pStyle w:val="ListBullet"/>
      </w:pPr>
      <w:r>
        <w:t>High-</w:t>
      </w:r>
      <w:r w:rsidR="00004BDE">
        <w:t>intensity discharge</w:t>
      </w:r>
      <w:r w:rsidR="005F7E5D">
        <w:t xml:space="preserve"> </w:t>
      </w:r>
      <w:r w:rsidR="00F31F3C">
        <w:t>and LED tube lighting</w:t>
      </w:r>
    </w:p>
    <w:p w:rsidR="00F31F3C" w:rsidRDefault="00F31F3C" w:rsidP="00F31F3C">
      <w:pPr>
        <w:pStyle w:val="ListBullet"/>
      </w:pPr>
      <w:r>
        <w:t>Refrigeration/grocer</w:t>
      </w:r>
      <w:r w:rsidR="00B772DA">
        <w:t>y</w:t>
      </w:r>
      <w:r>
        <w:t xml:space="preserve"> measures </w:t>
      </w:r>
      <w:r w:rsidR="00301C3F">
        <w:rPr>
          <w:rStyle w:val="FootnoteReference"/>
        </w:rPr>
        <w:footnoteReference w:id="16"/>
      </w:r>
      <w:r w:rsidR="00606214" w:rsidRPr="00EF44B9">
        <w:rPr>
          <w:vertAlign w:val="superscript"/>
        </w:rPr>
        <w:t>,</w:t>
      </w:r>
      <w:r>
        <w:rPr>
          <w:rStyle w:val="FootnoteReference"/>
        </w:rPr>
        <w:footnoteReference w:id="17"/>
      </w:r>
    </w:p>
    <w:p w:rsidR="00F31F3C" w:rsidRDefault="00F31F3C" w:rsidP="00F31F3C">
      <w:pPr>
        <w:pStyle w:val="ListBullet"/>
      </w:pPr>
      <w:r>
        <w:t>Personal computer control technologies</w:t>
      </w:r>
    </w:p>
    <w:p w:rsidR="00F31F3C" w:rsidRDefault="00F31F3C" w:rsidP="00F31F3C">
      <w:pPr>
        <w:pStyle w:val="ListBullet"/>
      </w:pPr>
      <w:r>
        <w:t>Premium efficiency motors</w:t>
      </w:r>
    </w:p>
    <w:p w:rsidR="00F31F3C" w:rsidRDefault="00F31F3C" w:rsidP="00F31F3C">
      <w:pPr>
        <w:pStyle w:val="BodyText"/>
      </w:pPr>
      <w:r>
        <w:lastRenderedPageBreak/>
        <w:t>In addition to negotiating favorable pricing, smart sourcing efforts can ensure product quality, adherence to installation protocols, and improved data tracking.</w:t>
      </w:r>
      <w:r w:rsidR="00E57AE6">
        <w:t xml:space="preserve"> Employing multiple criteria for product selection</w:t>
      </w:r>
      <w:r w:rsidR="00301C3F">
        <w:t xml:space="preserve"> can help ensure that the best-performing technologies are made available in the U.P.</w:t>
      </w:r>
      <w:r w:rsidR="00695548">
        <w:t xml:space="preserve"> and</w:t>
      </w:r>
      <w:r w:rsidR="00301C3F">
        <w:t xml:space="preserve"> that retailers or trade allies can install and service those technologies</w:t>
      </w:r>
      <w:r w:rsidR="00695548">
        <w:t xml:space="preserve"> appropriately. </w:t>
      </w:r>
      <w:r w:rsidR="007608FA">
        <w:t>Wh</w:t>
      </w:r>
      <w:r w:rsidR="00606214">
        <w:t>en</w:t>
      </w:r>
      <w:r w:rsidR="007608FA">
        <w:t xml:space="preserve"> working directly with distributors and retailers on pricing, all appropriate documentation</w:t>
      </w:r>
      <w:r w:rsidR="00606214">
        <w:t>,</w:t>
      </w:r>
      <w:r w:rsidR="007608FA">
        <w:t xml:space="preserve"> such as measure counts, model numbers, and performance characteristics</w:t>
      </w:r>
      <w:r w:rsidR="00606214">
        <w:t>,</w:t>
      </w:r>
      <w:r w:rsidR="007608FA">
        <w:t xml:space="preserve"> is readily available.</w:t>
      </w:r>
    </w:p>
    <w:p w:rsidR="00F31F3C" w:rsidRDefault="00F31F3C" w:rsidP="00A7385C">
      <w:pPr>
        <w:pStyle w:val="Heading2"/>
      </w:pPr>
      <w:bookmarkStart w:id="27" w:name="_Toc533742670"/>
      <w:r>
        <w:t>Centralized Planning, Management, and Evaluation</w:t>
      </w:r>
      <w:bookmarkEnd w:id="27"/>
    </w:p>
    <w:p w:rsidR="00F31F3C" w:rsidRDefault="00F31F3C" w:rsidP="00F31F3C">
      <w:pPr>
        <w:pStyle w:val="BodyText"/>
      </w:pPr>
      <w:r>
        <w:t xml:space="preserve">Centralized planning, management, and evaluation of programs ensures the most efficient allocation of budget dollars to activities that do not directly drive savings. It also allows investment in critical infrastructure to be spread over a larger volume of program activity. Examples of the types of infrastructure that would support optimal program delivery include development of </w:t>
      </w:r>
      <w:r w:rsidR="00A7385C">
        <w:t>online</w:t>
      </w:r>
      <w:r>
        <w:t xml:space="preserve"> applications for programs</w:t>
      </w:r>
      <w:r w:rsidR="00113E22">
        <w:t>, which</w:t>
      </w:r>
      <w:r>
        <w:t xml:space="preserve"> would support reduction in errors </w:t>
      </w:r>
      <w:r w:rsidR="00CB1A85">
        <w:t>in</w:t>
      </w:r>
      <w:r>
        <w:t xml:space="preserve"> project documentation</w:t>
      </w:r>
      <w:r w:rsidR="00CB1A85">
        <w:t xml:space="preserve"> submission</w:t>
      </w:r>
      <w:r>
        <w:t>, speed application</w:t>
      </w:r>
      <w:r w:rsidR="004E0A30">
        <w:t xml:space="preserve"> processing</w:t>
      </w:r>
      <w:r>
        <w:t xml:space="preserve">, and allow capture of project data in an electronic database without having to transcribe. Another infrastructure investment could include market research to understand customer characteristics that influence applicability of </w:t>
      </w:r>
      <w:r w:rsidR="00A7385C">
        <w:t>energy-</w:t>
      </w:r>
      <w:r>
        <w:t xml:space="preserve">efficient technologies and the savings that come from those technologies. Evaluation efforts conducted over a wider population will yield improved confidence and precision in the results and will allow for an expanded research agenda that can support program planning and utility resource planning efforts. Process improvements informed by evaluation or through focused management could be quickly implemented across the region. </w:t>
      </w:r>
    </w:p>
    <w:p w:rsidR="00935657" w:rsidRDefault="00935657" w:rsidP="00D728A1">
      <w:pPr>
        <w:pStyle w:val="Heading2"/>
      </w:pPr>
      <w:bookmarkStart w:id="28" w:name="_Toc533742671"/>
      <w:r>
        <w:t>Leveraged Investment</w:t>
      </w:r>
      <w:bookmarkEnd w:id="28"/>
    </w:p>
    <w:p w:rsidR="008A362A" w:rsidRDefault="0099613C" w:rsidP="0099613C">
      <w:pPr>
        <w:pStyle w:val="BodyText"/>
      </w:pPr>
      <w:r>
        <w:t>Numerous resources exist to encourage and support EWR. Technical assistance, grant dollars, low-cost financing, and other</w:t>
      </w:r>
      <w:r w:rsidR="00D71D59">
        <w:t xml:space="preserve"> </w:t>
      </w:r>
      <w:r>
        <w:t>resources are distributed, sometimes on a competitive basis, across the country by government</w:t>
      </w:r>
      <w:r w:rsidR="00D71D59">
        <w:t xml:space="preserve"> </w:t>
      </w:r>
      <w:r>
        <w:t>agencies, foundations, and others seeking to advance clean energy options. Available funding can be</w:t>
      </w:r>
      <w:r w:rsidR="00D71D59">
        <w:t xml:space="preserve"> </w:t>
      </w:r>
      <w:r>
        <w:t>used for energy-efficiency improvements, renewable energy systems, grid modernization, and more.</w:t>
      </w:r>
      <w:r w:rsidR="00D71D59">
        <w:t xml:space="preserve"> </w:t>
      </w:r>
      <w:r>
        <w:t>Joint identification and application for available funding could increase the competitiveness of U.P.</w:t>
      </w:r>
      <w:r w:rsidR="00D71D59">
        <w:t xml:space="preserve"> </w:t>
      </w:r>
      <w:r>
        <w:t xml:space="preserve">entities seeking this support by demonstrating broad community </w:t>
      </w:r>
      <w:r w:rsidR="00D71D59">
        <w:t xml:space="preserve">interest </w:t>
      </w:r>
      <w:r>
        <w:t>and expanded impact. An</w:t>
      </w:r>
      <w:r w:rsidR="00D71D59">
        <w:t xml:space="preserve"> </w:t>
      </w:r>
      <w:r>
        <w:t>example of available funding includes the Rural Energy for America Program, which provides grant</w:t>
      </w:r>
      <w:r w:rsidR="00D71D59">
        <w:t xml:space="preserve"> </w:t>
      </w:r>
      <w:r>
        <w:t>funding for up to 25 percent of project cost</w:t>
      </w:r>
      <w:r w:rsidR="00C105F7">
        <w:t>s</w:t>
      </w:r>
      <w:r>
        <w:t xml:space="preserve"> to agricultural producers and small rural businesses—with</w:t>
      </w:r>
      <w:r w:rsidR="00D71D59">
        <w:t xml:space="preserve"> </w:t>
      </w:r>
      <w:r>
        <w:t xml:space="preserve">guaranteed financing for the </w:t>
      </w:r>
      <w:r w:rsidR="00CB1A85">
        <w:t>remaining project cost</w:t>
      </w:r>
      <w:r>
        <w:t>.</w:t>
      </w:r>
      <w:r w:rsidR="00D71D59">
        <w:rPr>
          <w:rStyle w:val="FootnoteReference"/>
        </w:rPr>
        <w:footnoteReference w:id="18"/>
      </w:r>
      <w:r>
        <w:t xml:space="preserve"> The U.P. meets eligibility criteria for rural areas but has been</w:t>
      </w:r>
      <w:r w:rsidR="00D71D59">
        <w:t xml:space="preserve"> </w:t>
      </w:r>
      <w:r>
        <w:t>underrepresented in funding awards to date. This historical underrepresentation would give priority</w:t>
      </w:r>
      <w:r w:rsidR="00D71D59">
        <w:t xml:space="preserve"> </w:t>
      </w:r>
      <w:r>
        <w:t>to future funding applications</w:t>
      </w:r>
      <w:r w:rsidR="003B4E1B">
        <w:t xml:space="preserve"> (Natalie</w:t>
      </w:r>
      <w:r w:rsidR="00113E22">
        <w:t xml:space="preserve"> Garr</w:t>
      </w:r>
      <w:r w:rsidR="003B4E1B">
        <w:t>, pers. comm</w:t>
      </w:r>
      <w:r w:rsidR="008A362A">
        <w:t>.</w:t>
      </w:r>
      <w:r w:rsidR="003B4E1B">
        <w:t>)</w:t>
      </w:r>
      <w:r w:rsidR="00113E22">
        <w:t>.</w:t>
      </w:r>
    </w:p>
    <w:p w:rsidR="00935657" w:rsidRDefault="00A462A0" w:rsidP="0099613C">
      <w:pPr>
        <w:pStyle w:val="BodyText"/>
      </w:pPr>
      <w:r>
        <w:t xml:space="preserve">Other opportunities for leveraged funding include dollars allocated for weatherization through the </w:t>
      </w:r>
      <w:r w:rsidR="00CB1A85">
        <w:t>U.S.</w:t>
      </w:r>
      <w:r w:rsidR="00AC1B27">
        <w:t xml:space="preserve"> Department of </w:t>
      </w:r>
      <w:r w:rsidR="00CB4C37">
        <w:t xml:space="preserve">Health and Human Services </w:t>
      </w:r>
      <w:r>
        <w:t>Low</w:t>
      </w:r>
      <w:r w:rsidR="00CB1A85">
        <w:t>-i</w:t>
      </w:r>
      <w:r>
        <w:t xml:space="preserve">ncome </w:t>
      </w:r>
      <w:r w:rsidR="00AC1B27">
        <w:t xml:space="preserve">Home Energy Assistance Program (LIHEAP) and </w:t>
      </w:r>
      <w:r w:rsidR="00842D8C">
        <w:t xml:space="preserve">several programs offered by the </w:t>
      </w:r>
      <w:r w:rsidR="00CB4C37">
        <w:t>U</w:t>
      </w:r>
      <w:r w:rsidR="00CB1A85">
        <w:t>.</w:t>
      </w:r>
      <w:r w:rsidR="00CB4C37">
        <w:t>S</w:t>
      </w:r>
      <w:r w:rsidR="00CB1A85">
        <w:t>.</w:t>
      </w:r>
      <w:r w:rsidR="00CB4C37">
        <w:t xml:space="preserve"> </w:t>
      </w:r>
      <w:r w:rsidR="00AC1B27">
        <w:t>Department of Energ</w:t>
      </w:r>
      <w:r w:rsidR="00842D8C">
        <w:t>y</w:t>
      </w:r>
      <w:r w:rsidR="00113E22">
        <w:t>,</w:t>
      </w:r>
      <w:r w:rsidR="00842D8C">
        <w:t xml:space="preserve"> including the </w:t>
      </w:r>
      <w:r w:rsidR="00842D8C" w:rsidRPr="00842D8C">
        <w:t>Weatherization Assistance Program</w:t>
      </w:r>
      <w:r w:rsidR="00842D8C">
        <w:t xml:space="preserve">, </w:t>
      </w:r>
      <w:r w:rsidR="00842D8C" w:rsidRPr="00842D8C">
        <w:t>State Energy Program</w:t>
      </w:r>
      <w:r w:rsidR="00842D8C">
        <w:t>, and Tribal</w:t>
      </w:r>
      <w:r w:rsidR="00AC1B27">
        <w:t xml:space="preserve"> Energy Program</w:t>
      </w:r>
      <w:r w:rsidR="00842D8C">
        <w:t>.</w:t>
      </w:r>
      <w:r w:rsidR="00CB1A85">
        <w:rPr>
          <w:rStyle w:val="FootnoteReference"/>
        </w:rPr>
        <w:footnoteReference w:id="19"/>
      </w:r>
      <w:r w:rsidR="00113E22" w:rsidRPr="00E57AE6">
        <w:rPr>
          <w:vertAlign w:val="superscript"/>
        </w:rPr>
        <w:t>,</w:t>
      </w:r>
      <w:r w:rsidR="00CB1A85">
        <w:rPr>
          <w:rStyle w:val="FootnoteReference"/>
        </w:rPr>
        <w:footnoteReference w:id="20"/>
      </w:r>
      <w:r w:rsidR="00842D8C">
        <w:t xml:space="preserve"> </w:t>
      </w:r>
    </w:p>
    <w:p w:rsidR="00924BE7" w:rsidRDefault="00924BE7">
      <w:r>
        <w:lastRenderedPageBreak/>
        <w:br w:type="page"/>
      </w:r>
    </w:p>
    <w:p w:rsidR="00935657" w:rsidRDefault="001E121C" w:rsidP="00935657">
      <w:pPr>
        <w:pStyle w:val="Heading1"/>
      </w:pPr>
      <w:bookmarkStart w:id="29" w:name="_Toc533742672"/>
      <w:r>
        <w:lastRenderedPageBreak/>
        <w:t xml:space="preserve">APPENDIX B: </w:t>
      </w:r>
      <w:r w:rsidR="00935657">
        <w:t>Program Strategies</w:t>
      </w:r>
      <w:bookmarkEnd w:id="29"/>
    </w:p>
    <w:p w:rsidR="00F34A0A" w:rsidRDefault="00A7385C" w:rsidP="00C117ED">
      <w:pPr>
        <w:pStyle w:val="BodyText"/>
      </w:pPr>
      <w:r>
        <w:t xml:space="preserve">An </w:t>
      </w:r>
      <w:r w:rsidR="00C117ED">
        <w:t>enhanced U.P. energy plan will build on the current suite of programs, incorporating the</w:t>
      </w:r>
      <w:r w:rsidR="00613075">
        <w:t xml:space="preserve"> identified</w:t>
      </w:r>
      <w:r w:rsidR="00C117ED">
        <w:t xml:space="preserve"> portfolio</w:t>
      </w:r>
      <w:r w:rsidR="00FA59A8">
        <w:t>-</w:t>
      </w:r>
      <w:r w:rsidR="00C117ED">
        <w:t>level strategies to</w:t>
      </w:r>
      <w:r w:rsidR="00E02E90">
        <w:t xml:space="preserve"> improve delivery effectiveness, reduce cost, </w:t>
      </w:r>
      <w:r w:rsidR="00E93699">
        <w:t xml:space="preserve">ease participation, </w:t>
      </w:r>
      <w:r w:rsidR="00E02E90">
        <w:t xml:space="preserve">and expand program reach. </w:t>
      </w:r>
      <w:r w:rsidR="00992953">
        <w:t>To some extent, these</w:t>
      </w:r>
      <w:r w:rsidR="00805154">
        <w:t xml:space="preserve"> objectives </w:t>
      </w:r>
      <w:r w:rsidR="002035C6">
        <w:t>apply for each p</w:t>
      </w:r>
      <w:r w:rsidR="00992953">
        <w:t>r</w:t>
      </w:r>
      <w:r w:rsidR="002035C6">
        <w:t xml:space="preserve">ogram. The following indicators </w:t>
      </w:r>
      <w:r w:rsidR="001E28F7">
        <w:t>identify the key objectives associated with each program</w:t>
      </w:r>
      <w:r w:rsidR="00495CF3">
        <w:t xml:space="preserve"> that are</w:t>
      </w:r>
      <w:r w:rsidR="001E28F7">
        <w:t xml:space="preserve"> supported by the portfolio strategies.</w:t>
      </w:r>
    </w:p>
    <w:tbl>
      <w:tblPr>
        <w:tblStyle w:val="TableGrid"/>
        <w:tblW w:w="0" w:type="auto"/>
        <w:tblBorders>
          <w:top w:val="none" w:sz="0" w:space="0" w:color="auto"/>
          <w:left w:val="none" w:sz="0" w:space="0" w:color="auto"/>
          <w:bottom w:val="none" w:sz="0" w:space="0" w:color="auto"/>
          <w:right w:val="none" w:sz="0" w:space="0" w:color="auto"/>
          <w:insideH w:val="single" w:sz="8" w:space="0" w:color="FFB602" w:themeColor="accent1"/>
          <w:insideV w:val="single" w:sz="8" w:space="0" w:color="FFB602" w:themeColor="accent1"/>
        </w:tblBorders>
        <w:tblLook w:val="04A0"/>
      </w:tblPr>
      <w:tblGrid>
        <w:gridCol w:w="1236"/>
        <w:gridCol w:w="8190"/>
      </w:tblGrid>
      <w:tr w:rsidR="00991549" w:rsidRPr="00184958" w:rsidTr="0010385C">
        <w:trPr>
          <w:trHeight w:hRule="exact" w:val="1152"/>
        </w:trPr>
        <w:tc>
          <w:tcPr>
            <w:tcW w:w="1170" w:type="dxa"/>
          </w:tcPr>
          <w:p w:rsidR="00991549" w:rsidRDefault="00991549" w:rsidP="00C117ED">
            <w:pPr>
              <w:pStyle w:val="BodyText"/>
            </w:pPr>
            <w:r w:rsidRPr="00991549">
              <w:rPr>
                <w:noProof/>
              </w:rPr>
              <w:drawing>
                <wp:inline distT="0" distB="0" distL="0" distR="0">
                  <wp:extent cx="640080" cy="640080"/>
                  <wp:effectExtent l="0" t="0" r="7620" b="7620"/>
                  <wp:docPr id="1028" name="Picture 4" descr="Business VoIP Plans &amp; Pricing - Get More with MegaPath ...">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FEB27688-EF70-4EA1-BD3F-EE1F96ECEA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Business VoIP Plans &amp; Pricing - Get More with MegaPath ...">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FEB27688-EF70-4EA1-BD3F-EE1F96ECEAFC}"/>
                              </a:ext>
                            </a:extLst>
                          </pic:cNvPr>
                          <pic:cNvPicPr>
                            <a:picLocks noChangeAspect="1" noChangeArrowheads="1"/>
                          </pic:cNvPicPr>
                        </pic:nvPicPr>
                        <pic:blipFill>
                          <a:blip r:embed="rId30"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0080" cy="640080"/>
                          </a:xfrm>
                          <a:prstGeom prst="rect">
                            <a:avLst/>
                          </a:prstGeom>
                          <a:noFill/>
                          <a:extLst/>
                        </pic:spPr>
                      </pic:pic>
                    </a:graphicData>
                  </a:graphic>
                </wp:inline>
              </w:drawing>
            </w:r>
          </w:p>
          <w:p w:rsidR="0047503A" w:rsidRDefault="0047503A" w:rsidP="00C117ED">
            <w:pPr>
              <w:pStyle w:val="BodyText"/>
            </w:pPr>
          </w:p>
        </w:tc>
        <w:tc>
          <w:tcPr>
            <w:tcW w:w="8190" w:type="dxa"/>
            <w:vAlign w:val="center"/>
          </w:tcPr>
          <w:p w:rsidR="00991549" w:rsidRPr="00184958" w:rsidRDefault="00184958" w:rsidP="00177D73">
            <w:pPr>
              <w:pStyle w:val="TableData"/>
            </w:pPr>
            <w:r w:rsidRPr="00184958">
              <w:t xml:space="preserve">Program </w:t>
            </w:r>
            <w:r w:rsidR="007C2F27">
              <w:t>opportunitie</w:t>
            </w:r>
            <w:r w:rsidRPr="00184958">
              <w:t xml:space="preserve">s reduce the </w:t>
            </w:r>
            <w:r w:rsidR="00FA59A8">
              <w:t xml:space="preserve">overall </w:t>
            </w:r>
            <w:r w:rsidRPr="00184958">
              <w:t>cost and improve efficiency of program delivery for utilities and program implementers by reducing measure costs</w:t>
            </w:r>
            <w:r>
              <w:t xml:space="preserve">, streamlining processes, and </w:t>
            </w:r>
            <w:r w:rsidR="007C2F27">
              <w:t>optimizing</w:t>
            </w:r>
            <w:r>
              <w:t xml:space="preserve"> infrastructure investments.</w:t>
            </w:r>
          </w:p>
        </w:tc>
      </w:tr>
      <w:tr w:rsidR="00991549" w:rsidTr="0010385C">
        <w:trPr>
          <w:trHeight w:hRule="exact" w:val="1152"/>
        </w:trPr>
        <w:tc>
          <w:tcPr>
            <w:tcW w:w="1170" w:type="dxa"/>
          </w:tcPr>
          <w:p w:rsidR="00991549" w:rsidRDefault="00184958" w:rsidP="00C117ED">
            <w:pPr>
              <w:pStyle w:val="BodyText"/>
            </w:pPr>
            <w:r w:rsidRPr="00184958">
              <w:rPr>
                <w:noProof/>
              </w:rPr>
              <w:drawing>
                <wp:inline distT="0" distB="0" distL="0" distR="0">
                  <wp:extent cx="640080" cy="640080"/>
                  <wp:effectExtent l="0" t="0" r="7620" b="7620"/>
                  <wp:docPr id="18" name="Picture 16" descr="https://tse3.mm.bing.net/th?id=OIP.KDlIe3xQhMha7lr7u6fckQHaHa&amp;pid=15.1&amp;P=0&amp;w=300&amp;h=30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0933D56-0718-43C8-8149-162D4632E9C1}"/>
                      </a:ext>
                    </a:extLst>
                  </wp:docPr>
                  <wp:cNvGraphicFramePr/>
                  <a:graphic xmlns:a="http://schemas.openxmlformats.org/drawingml/2006/main">
                    <a:graphicData uri="http://schemas.openxmlformats.org/drawingml/2006/picture">
                      <pic:pic xmlns:pic="http://schemas.openxmlformats.org/drawingml/2006/picture">
                        <pic:nvPicPr>
                          <pic:cNvPr id="17" name="Picture 16" descr="https://tse3.mm.bing.net/th?id=OIP.KDlIe3xQhMha7lr7u6fckQHaHa&amp;pid=15.1&amp;P=0&amp;w=300&amp;h=300">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0933D56-0718-43C8-8149-162D4632E9C1}"/>
                              </a:ext>
                            </a:extLst>
                          </pic:cNvPr>
                          <pic:cNvPicPr/>
                        </pic:nvPicPr>
                        <pic:blipFill>
                          <a:blip r:embed="rId3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32">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0080" cy="640080"/>
                          </a:xfrm>
                          <a:prstGeom prst="rect">
                            <a:avLst/>
                          </a:prstGeom>
                          <a:noFill/>
                          <a:extLst/>
                        </pic:spPr>
                      </pic:pic>
                    </a:graphicData>
                  </a:graphic>
                </wp:inline>
              </w:drawing>
            </w:r>
          </w:p>
        </w:tc>
        <w:tc>
          <w:tcPr>
            <w:tcW w:w="8190" w:type="dxa"/>
            <w:vAlign w:val="center"/>
          </w:tcPr>
          <w:p w:rsidR="00991549" w:rsidRDefault="00184958" w:rsidP="00177D73">
            <w:pPr>
              <w:pStyle w:val="TableData"/>
            </w:pPr>
            <w:r w:rsidRPr="00184958">
              <w:t xml:space="preserve">Program </w:t>
            </w:r>
            <w:r w:rsidR="007C2F27">
              <w:t>opportunities</w:t>
            </w:r>
            <w:r w:rsidRPr="00184958">
              <w:t xml:space="preserve"> reduce the time requirements and potential hassle for participants. These </w:t>
            </w:r>
            <w:r>
              <w:t xml:space="preserve">increase awareness and clarify steps for potential participants, creating a one-stop shop for customers to go for information about available programs, qualifying measures, program requirements, technical assistance availability, and incentives. </w:t>
            </w:r>
          </w:p>
        </w:tc>
      </w:tr>
      <w:tr w:rsidR="00991549" w:rsidTr="0010385C">
        <w:trPr>
          <w:trHeight w:val="1152"/>
        </w:trPr>
        <w:tc>
          <w:tcPr>
            <w:tcW w:w="1170" w:type="dxa"/>
          </w:tcPr>
          <w:p w:rsidR="00991549" w:rsidRDefault="00370D51" w:rsidP="00C117ED">
            <w:pPr>
              <w:pStyle w:val="BodyText"/>
            </w:pPr>
            <w:r>
              <w:rPr>
                <w:noProof/>
              </w:rPr>
              <w:pict>
                <v:group id="Group 29" o:spid="_x0000_s1031" style="position:absolute;margin-left:-.2pt;margin-top:2.55pt;width:50.4pt;height:50.4pt;z-index:251658239;mso-position-horizontal-relative:text;mso-position-vertical-relative:text;mso-width-relative:margin;mso-height-relative:margin" coordsize="7396,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1" o:spid="_x0000_s1027" type="#_x0000_t13" style="position:absolute;left:4160;top:4480;width:3236;height:2493;rotation: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" adj="13281" filled="f" stroked="f" strokeweight="1pt"/>
                  <v:shape id="Arrow: Right 1024" o:spid="_x0000_s1028" type="#_x0000_t13" style="position:absolute;top:4503;width:3298;height:2447;rotation:13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" adj="13587" filled="f" stroked="f" strokeweight="1pt"/>
                  <v:shape id="Arrow: Right 1025" o:spid="_x0000_s1029" type="#_x0000_t13" style="position:absolute;left:4159;top:402;width:3237;height:2493;rotation:45;flip:y;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" adj="13281" filled="f" stroked="f" strokeweight="1pt"/>
                  <v:shape id="Arrow: Right 1026" o:spid="_x0000_s1030" type="#_x0000_t13" style="position:absolute;top:425;width:3298;height:2447;rotation:135;flip:y;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" adj="13587" filled="f" stroked="f" strokeweight="1pt"/>
                </v:group>
              </w:pict>
            </w:r>
          </w:p>
        </w:tc>
        <w:tc>
          <w:tcPr>
            <w:tcW w:w="8190" w:type="dxa"/>
            <w:vAlign w:val="center"/>
          </w:tcPr>
          <w:p w:rsidR="00991549" w:rsidRDefault="0010385C" w:rsidP="00177D73">
            <w:pPr>
              <w:pStyle w:val="TableData"/>
            </w:pPr>
            <w:r>
              <w:t>Program opportunities</w:t>
            </w:r>
            <w:r w:rsidR="00E93699">
              <w:t xml:space="preserve"> </w:t>
            </w:r>
            <w:r w:rsidR="00B5734C">
              <w:t xml:space="preserve">expand the applicability and impact of programs geographically or to customers currently not </w:t>
            </w:r>
            <w:r w:rsidR="00116DBD">
              <w:t xml:space="preserve">fully </w:t>
            </w:r>
            <w:r w:rsidR="00B5734C">
              <w:t xml:space="preserve">served by the programs. </w:t>
            </w:r>
            <w:r w:rsidR="007C2F27">
              <w:t>Some opportunities identified increase the depth</w:t>
            </w:r>
            <w:r w:rsidR="00E57AE6">
              <w:t xml:space="preserve"> (i.e., the average savings achieved for each participant)</w:t>
            </w:r>
            <w:r w:rsidR="007C2F27">
              <w:t xml:space="preserve"> and persistence </w:t>
            </w:r>
            <w:r w:rsidR="00E57AE6">
              <w:t>(</w:t>
            </w:r>
            <w:r>
              <w:t>i.e.</w:t>
            </w:r>
            <w:r w:rsidR="00E57AE6">
              <w:t xml:space="preserve">, the </w:t>
            </w:r>
            <w:r>
              <w:t xml:space="preserve">longevity </w:t>
            </w:r>
            <w:r w:rsidR="002459A9">
              <w:t>of</w:t>
            </w:r>
            <w:r>
              <w:t xml:space="preserve"> EWR measure performance) of</w:t>
            </w:r>
            <w:r w:rsidR="007C2F27">
              <w:t xml:space="preserve"> savings.</w:t>
            </w:r>
          </w:p>
        </w:tc>
      </w:tr>
    </w:tbl>
    <w:p w:rsidR="00220F89" w:rsidRDefault="00220F89" w:rsidP="00220F89">
      <w:pPr>
        <w:pStyle w:val="Heading2"/>
      </w:pPr>
      <w:bookmarkStart w:id="30" w:name="_Toc533742673"/>
      <w:r>
        <w:t>Residential Program</w:t>
      </w:r>
      <w:r w:rsidR="00FA59A8">
        <w:t>s</w:t>
      </w:r>
      <w:bookmarkEnd w:id="30"/>
    </w:p>
    <w:p w:rsidR="00220F89" w:rsidRDefault="00220F89" w:rsidP="00C117ED">
      <w:pPr>
        <w:pStyle w:val="BodyText"/>
      </w:pPr>
      <w:r>
        <w:t xml:space="preserve">The current suite of </w:t>
      </w:r>
      <w:r w:rsidR="007E0F63">
        <w:t xml:space="preserve">residential </w:t>
      </w:r>
      <w:r>
        <w:t xml:space="preserve">programs offered by </w:t>
      </w:r>
      <w:r w:rsidR="000C2127">
        <w:t>Efficiency UNITED</w:t>
      </w:r>
      <w:r>
        <w:t xml:space="preserve"> and the MECA </w:t>
      </w:r>
      <w:r w:rsidR="00B772DA">
        <w:t>C</w:t>
      </w:r>
      <w:r>
        <w:t xml:space="preserve">ollaborative include these essential elements: </w:t>
      </w:r>
    </w:p>
    <w:p w:rsidR="00220F89" w:rsidRDefault="00220F89" w:rsidP="00CC1240">
      <w:pPr>
        <w:pStyle w:val="ListBullet"/>
      </w:pPr>
      <w:r>
        <w:t>High-efficiency products</w:t>
      </w:r>
    </w:p>
    <w:p w:rsidR="00220F89" w:rsidRDefault="00220F89" w:rsidP="00CC1240">
      <w:pPr>
        <w:pStyle w:val="ListBullet"/>
      </w:pPr>
      <w:r>
        <w:t>Contractor-driven programs</w:t>
      </w:r>
      <w:r w:rsidR="00902881">
        <w:t xml:space="preserve"> (equipment and envelope improvements)</w:t>
      </w:r>
    </w:p>
    <w:p w:rsidR="00220F89" w:rsidRDefault="00220F89" w:rsidP="00CC1240">
      <w:pPr>
        <w:pStyle w:val="ListBullet"/>
      </w:pPr>
      <w:r>
        <w:t>Direct</w:t>
      </w:r>
      <w:r w:rsidR="00276EDE">
        <w:t>-</w:t>
      </w:r>
      <w:r>
        <w:t xml:space="preserve">delivery programs </w:t>
      </w:r>
    </w:p>
    <w:p w:rsidR="00220F89" w:rsidRDefault="00220F89" w:rsidP="00CC1240">
      <w:pPr>
        <w:pStyle w:val="ListBullet"/>
      </w:pPr>
      <w:r>
        <w:t>Energy education programs</w:t>
      </w:r>
    </w:p>
    <w:p w:rsidR="00220F89" w:rsidRDefault="00382261" w:rsidP="00220F89">
      <w:pPr>
        <w:pStyle w:val="BodyText"/>
      </w:pPr>
      <w:r>
        <w:t>Historically</w:t>
      </w:r>
      <w:r w:rsidR="00220F89">
        <w:t>, behavior-based programs, i.e.,</w:t>
      </w:r>
      <w:r>
        <w:t xml:space="preserve"> programs that use non</w:t>
      </w:r>
      <w:r w:rsidR="00745F17" w:rsidRPr="00382261">
        <w:t>financial influences</w:t>
      </w:r>
      <w:r w:rsidR="00276EDE">
        <w:t>,</w:t>
      </w:r>
      <w:r w:rsidR="00745F17" w:rsidRPr="00382261">
        <w:t xml:space="preserve"> </w:t>
      </w:r>
      <w:r>
        <w:t xml:space="preserve">such as a </w:t>
      </w:r>
      <w:r w:rsidRPr="00382261">
        <w:t>customer’s energy use relative to similar home</w:t>
      </w:r>
      <w:r w:rsidR="00276EDE">
        <w:t>,</w:t>
      </w:r>
      <w:r w:rsidRPr="00382261">
        <w:t xml:space="preserve"> </w:t>
      </w:r>
      <w:r>
        <w:t>to</w:t>
      </w:r>
      <w:r w:rsidR="00745F17" w:rsidRPr="00382261">
        <w:t xml:space="preserve"> encourage people to reduce their energy consumption</w:t>
      </w:r>
      <w:r w:rsidR="00276EDE">
        <w:t xml:space="preserve"> </w:t>
      </w:r>
      <w:r>
        <w:t xml:space="preserve">had not been implemented in the </w:t>
      </w:r>
      <w:r w:rsidR="00FA59A8">
        <w:t>U.P</w:t>
      </w:r>
      <w:r>
        <w:t>. Other behavior-based programs leverage advanced metering to provide customers detailed information about their energy consumption on a daily, hourly, or even real-time basis</w:t>
      </w:r>
      <w:r w:rsidR="00FA59A8">
        <w:t>. C</w:t>
      </w:r>
      <w:r>
        <w:t>ombined with pricing information, these data allow</w:t>
      </w:r>
      <w:r w:rsidR="00CC1240">
        <w:t xml:space="preserve"> consumers to make better-informed</w:t>
      </w:r>
      <w:r>
        <w:t xml:space="preserve"> decisions about energy use. </w:t>
      </w:r>
      <w:proofErr w:type="spellStart"/>
      <w:r>
        <w:t>UPPCo’s</w:t>
      </w:r>
      <w:proofErr w:type="spellEnd"/>
      <w:r>
        <w:t xml:space="preserve"> 2018</w:t>
      </w:r>
      <w:r w:rsidR="00606214">
        <w:t>–</w:t>
      </w:r>
      <w:r>
        <w:t>2019 EWR</w:t>
      </w:r>
      <w:r w:rsidR="00FA59A8">
        <w:t xml:space="preserve"> plan</w:t>
      </w:r>
      <w:r w:rsidR="002459A9">
        <w:t xml:space="preserve"> </w:t>
      </w:r>
      <w:r>
        <w:t xml:space="preserve">includes </w:t>
      </w:r>
      <w:r w:rsidR="002459A9">
        <w:t xml:space="preserve">the first implementation </w:t>
      </w:r>
      <w:r w:rsidR="00365A1B">
        <w:t xml:space="preserve">of </w:t>
      </w:r>
      <w:r>
        <w:t>a behavior-based program</w:t>
      </w:r>
      <w:r w:rsidR="002459A9">
        <w:t xml:space="preserve"> in the U.P</w:t>
      </w:r>
      <w:r w:rsidR="00745F17" w:rsidRPr="00382261">
        <w:t>.</w:t>
      </w:r>
      <w:r w:rsidR="001C5E8B">
        <w:t xml:space="preserve">, and because programs like this </w:t>
      </w:r>
      <w:r>
        <w:t>can have significant impact</w:t>
      </w:r>
      <w:r w:rsidR="00CC1240">
        <w:t xml:space="preserve"> on their </w:t>
      </w:r>
      <w:r w:rsidR="00050974">
        <w:t>own and</w:t>
      </w:r>
      <w:r w:rsidR="00CC1240">
        <w:t xml:space="preserve"> can also drive participation and sustained savings for other programs, they are included </w:t>
      </w:r>
      <w:r w:rsidR="00381641">
        <w:t xml:space="preserve">in the </w:t>
      </w:r>
      <w:r w:rsidR="00A7385C">
        <w:t xml:space="preserve">identified </w:t>
      </w:r>
      <w:r w:rsidR="00EF4CC4">
        <w:t>peninsula</w:t>
      </w:r>
      <w:r w:rsidR="002459A9">
        <w:t>-wide</w:t>
      </w:r>
      <w:r w:rsidR="00381641">
        <w:t xml:space="preserve"> EWR </w:t>
      </w:r>
      <w:r w:rsidR="00A7385C">
        <w:t>opportunities</w:t>
      </w:r>
      <w:r w:rsidR="00CC1240">
        <w:t>.</w:t>
      </w:r>
      <w:r>
        <w:t xml:space="preserve"> </w:t>
      </w:r>
    </w:p>
    <w:p w:rsidR="00C117ED" w:rsidRPr="00C117ED" w:rsidRDefault="00370D51" w:rsidP="00C117ED">
      <w:pPr>
        <w:pStyle w:val="BodyText"/>
      </w:pPr>
      <w:r>
        <w:fldChar w:fldCharType="begin"/>
      </w:r>
      <w:r w:rsidR="00E02E90">
        <w:instrText xml:space="preserve"> REF _Ref513461132 \h </w:instrText>
      </w:r>
      <w:r>
        <w:fldChar w:fldCharType="separate"/>
      </w:r>
      <w:r w:rsidR="001E121C">
        <w:t xml:space="preserve">Exhibit </w:t>
      </w:r>
      <w:r>
        <w:fldChar w:fldCharType="end"/>
      </w:r>
      <w:r w:rsidR="001E121C">
        <w:t>B-1</w:t>
      </w:r>
      <w:r w:rsidR="00E02E90">
        <w:t xml:space="preserve"> </w:t>
      </w:r>
      <w:r w:rsidR="00CC1240">
        <w:t>provides an overview of the portfolio</w:t>
      </w:r>
      <w:r w:rsidR="00FA59A8">
        <w:t>-</w:t>
      </w:r>
      <w:r w:rsidR="00CC1240">
        <w:t xml:space="preserve">level strategies applicable for each program type. </w:t>
      </w:r>
      <w:r w:rsidR="00592DB9">
        <w:t>For example, the high-efficiency products program could make programs more accessible and expand program reach by instituting consistent program design and central administration for the program</w:t>
      </w:r>
      <w:r w:rsidR="00FA59A8">
        <w:t xml:space="preserve">. </w:t>
      </w:r>
      <w:r w:rsidR="009C757F">
        <w:t>Equipment and building envelope programs potential</w:t>
      </w:r>
      <w:r w:rsidR="00E57AE6">
        <w:t>ly</w:t>
      </w:r>
      <w:r w:rsidR="009C757F">
        <w:t xml:space="preserve"> benefit from consistent program design and the development of the U.P.-focused trade ally network. </w:t>
      </w:r>
    </w:p>
    <w:p w:rsidR="00231569" w:rsidRDefault="00231569" w:rsidP="00231569">
      <w:pPr>
        <w:pStyle w:val="ExhibitTitle"/>
      </w:pPr>
      <w:bookmarkStart w:id="31" w:name="_Ref513461132"/>
      <w:r>
        <w:lastRenderedPageBreak/>
        <w:t xml:space="preserve">Exhibit </w:t>
      </w:r>
      <w:bookmarkEnd w:id="31"/>
      <w:r w:rsidR="001E121C">
        <w:rPr>
          <w:noProof/>
        </w:rPr>
        <w:t>B-1</w:t>
      </w:r>
      <w:r>
        <w:t>: Residential Program Strategies</w:t>
      </w:r>
    </w:p>
    <w:tbl>
      <w:tblPr>
        <w:tblW w:w="0" w:type="auto"/>
        <w:tblCellMar>
          <w:left w:w="0" w:type="dxa"/>
          <w:right w:w="0" w:type="dxa"/>
        </w:tblCellMar>
        <w:tblLook w:val="0420"/>
      </w:tblPr>
      <w:tblGrid>
        <w:gridCol w:w="2330"/>
        <w:gridCol w:w="1402"/>
        <w:gridCol w:w="1402"/>
        <w:gridCol w:w="1402"/>
        <w:gridCol w:w="1402"/>
        <w:gridCol w:w="1402"/>
      </w:tblGrid>
      <w:tr w:rsidR="00935657" w:rsidRPr="00935657" w:rsidTr="00E02E90">
        <w:tc>
          <w:tcPr>
            <w:tcW w:w="2330" w:type="dxa"/>
            <w:tcBorders>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bottom"/>
            <w:hideMark/>
          </w:tcPr>
          <w:p w:rsidR="00935657" w:rsidRPr="00935657" w:rsidRDefault="00935657" w:rsidP="00935657">
            <w:pPr>
              <w:pStyle w:val="TableHeader"/>
            </w:pPr>
            <w:r w:rsidRPr="00935657">
              <w:t>Program Areas</w:t>
            </w:r>
          </w:p>
        </w:tc>
        <w:tc>
          <w:tcPr>
            <w:tcW w:w="1402" w:type="dxa"/>
            <w:tcBorders>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bottom"/>
            <w:hideMark/>
          </w:tcPr>
          <w:p w:rsidR="00935657" w:rsidRPr="00935657" w:rsidRDefault="00935657" w:rsidP="00382261">
            <w:pPr>
              <w:pStyle w:val="TableHeader"/>
              <w:jc w:val="center"/>
            </w:pPr>
            <w:r w:rsidRPr="00935657">
              <w:t>Consistent Program Design</w:t>
            </w:r>
          </w:p>
        </w:tc>
        <w:tc>
          <w:tcPr>
            <w:tcW w:w="1402" w:type="dxa"/>
            <w:tcBorders>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bottom"/>
            <w:hideMark/>
          </w:tcPr>
          <w:p w:rsidR="00935657" w:rsidRPr="00935657" w:rsidRDefault="00935657" w:rsidP="00382261">
            <w:pPr>
              <w:pStyle w:val="TableHeader"/>
              <w:jc w:val="center"/>
            </w:pPr>
            <w:r w:rsidRPr="00935657">
              <w:t>U.P.</w:t>
            </w:r>
            <w:r w:rsidR="00276EDE">
              <w:t>-f</w:t>
            </w:r>
            <w:r w:rsidRPr="00935657">
              <w:t>ocused Trade Ally Network</w:t>
            </w:r>
          </w:p>
        </w:tc>
        <w:tc>
          <w:tcPr>
            <w:tcW w:w="1402" w:type="dxa"/>
            <w:tcBorders>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bottom"/>
            <w:hideMark/>
          </w:tcPr>
          <w:p w:rsidR="00935657" w:rsidRPr="00935657" w:rsidRDefault="00592DB9" w:rsidP="00382261">
            <w:pPr>
              <w:pStyle w:val="TableHeader"/>
              <w:jc w:val="center"/>
            </w:pPr>
            <w:r>
              <w:t xml:space="preserve">Smart </w:t>
            </w:r>
            <w:r w:rsidR="00935657" w:rsidRPr="00935657">
              <w:t>Purchasing</w:t>
            </w:r>
          </w:p>
        </w:tc>
        <w:tc>
          <w:tcPr>
            <w:tcW w:w="1402" w:type="dxa"/>
            <w:tcBorders>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bottom"/>
            <w:hideMark/>
          </w:tcPr>
          <w:p w:rsidR="00935657" w:rsidRPr="00935657" w:rsidRDefault="00935657" w:rsidP="00382261">
            <w:pPr>
              <w:pStyle w:val="TableHeader"/>
              <w:jc w:val="center"/>
            </w:pPr>
            <w:r w:rsidRPr="00935657">
              <w:t>Centralized Administration</w:t>
            </w:r>
          </w:p>
        </w:tc>
        <w:tc>
          <w:tcPr>
            <w:tcW w:w="1402" w:type="dxa"/>
            <w:tcBorders>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bottom"/>
            <w:hideMark/>
          </w:tcPr>
          <w:p w:rsidR="00935657" w:rsidRPr="00935657" w:rsidRDefault="00935657" w:rsidP="00382261">
            <w:pPr>
              <w:pStyle w:val="TableHeader"/>
              <w:jc w:val="center"/>
            </w:pPr>
            <w:r w:rsidRPr="00935657">
              <w:t>Leveraged Investment</w:t>
            </w:r>
          </w:p>
        </w:tc>
      </w:tr>
      <w:tr w:rsidR="00935657" w:rsidRPr="00935657" w:rsidTr="00E02E90">
        <w:trPr>
          <w:trHeight w:val="722"/>
        </w:trPr>
        <w:tc>
          <w:tcPr>
            <w:tcW w:w="2330" w:type="dxa"/>
            <w:tcBorders>
              <w:top w:val="single" w:sz="8" w:space="0" w:color="655B58"/>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center"/>
            <w:hideMark/>
          </w:tcPr>
          <w:p w:rsidR="00935657" w:rsidRPr="00935657" w:rsidRDefault="00935657" w:rsidP="00935657">
            <w:pPr>
              <w:pStyle w:val="TableData"/>
            </w:pPr>
            <w:r w:rsidRPr="00935657">
              <w:t>High</w:t>
            </w:r>
            <w:r w:rsidR="00276EDE">
              <w:t>-</w:t>
            </w:r>
            <w:r w:rsidRPr="00935657">
              <w:t>efficiency products (lighting, appliances, electronics)</w:t>
            </w:r>
          </w:p>
        </w:tc>
        <w:tc>
          <w:tcPr>
            <w:tcW w:w="1402" w:type="dxa"/>
            <w:tcBorders>
              <w:top w:val="single" w:sz="8" w:space="0" w:color="655B58"/>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center"/>
            <w:hideMark/>
          </w:tcPr>
          <w:p w:rsidR="00935657" w:rsidRPr="00935657" w:rsidRDefault="00935657" w:rsidP="00935657">
            <w:pPr>
              <w:pStyle w:val="TableData"/>
              <w:jc w:val="center"/>
              <w:rPr>
                <w:sz w:val="22"/>
              </w:rPr>
            </w:pPr>
            <w:r w:rsidRPr="00935657">
              <w:rPr>
                <w:sz w:val="22"/>
              </w:rPr>
              <w:t>√</w:t>
            </w:r>
          </w:p>
        </w:tc>
        <w:tc>
          <w:tcPr>
            <w:tcW w:w="1402" w:type="dxa"/>
            <w:tcBorders>
              <w:top w:val="single" w:sz="8" w:space="0" w:color="655B58"/>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center"/>
            <w:hideMark/>
          </w:tcPr>
          <w:p w:rsidR="00935657" w:rsidRPr="00935657" w:rsidRDefault="00935657" w:rsidP="00935657">
            <w:pPr>
              <w:pStyle w:val="TableData"/>
              <w:jc w:val="center"/>
              <w:rPr>
                <w:sz w:val="22"/>
              </w:rPr>
            </w:pPr>
          </w:p>
        </w:tc>
        <w:tc>
          <w:tcPr>
            <w:tcW w:w="1402" w:type="dxa"/>
            <w:tcBorders>
              <w:top w:val="single" w:sz="8" w:space="0" w:color="655B58"/>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center"/>
            <w:hideMark/>
          </w:tcPr>
          <w:p w:rsidR="00935657" w:rsidRPr="00935657" w:rsidRDefault="00935657" w:rsidP="00935657">
            <w:pPr>
              <w:pStyle w:val="TableData"/>
              <w:jc w:val="center"/>
              <w:rPr>
                <w:sz w:val="22"/>
              </w:rPr>
            </w:pPr>
            <w:r w:rsidRPr="00935657">
              <w:rPr>
                <w:sz w:val="22"/>
              </w:rPr>
              <w:t>√</w:t>
            </w:r>
          </w:p>
        </w:tc>
        <w:tc>
          <w:tcPr>
            <w:tcW w:w="1402" w:type="dxa"/>
            <w:tcBorders>
              <w:top w:val="single" w:sz="8" w:space="0" w:color="655B58"/>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center"/>
            <w:hideMark/>
          </w:tcPr>
          <w:p w:rsidR="00935657" w:rsidRPr="00935657" w:rsidRDefault="00935657" w:rsidP="00935657">
            <w:pPr>
              <w:pStyle w:val="TableData"/>
              <w:jc w:val="center"/>
              <w:rPr>
                <w:sz w:val="22"/>
              </w:rPr>
            </w:pPr>
            <w:r w:rsidRPr="00935657">
              <w:rPr>
                <w:sz w:val="22"/>
              </w:rPr>
              <w:t>√</w:t>
            </w:r>
          </w:p>
        </w:tc>
        <w:tc>
          <w:tcPr>
            <w:tcW w:w="1402" w:type="dxa"/>
            <w:tcBorders>
              <w:top w:val="single" w:sz="8" w:space="0" w:color="655B58"/>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center"/>
            <w:hideMark/>
          </w:tcPr>
          <w:p w:rsidR="00935657" w:rsidRPr="00935657" w:rsidRDefault="00935657" w:rsidP="00935657">
            <w:pPr>
              <w:pStyle w:val="TableData"/>
              <w:jc w:val="center"/>
              <w:rPr>
                <w:sz w:val="22"/>
              </w:rPr>
            </w:pPr>
          </w:p>
        </w:tc>
      </w:tr>
      <w:tr w:rsidR="00935657" w:rsidRPr="00935657" w:rsidTr="00E02E90">
        <w:trPr>
          <w:trHeight w:val="607"/>
        </w:trPr>
        <w:tc>
          <w:tcPr>
            <w:tcW w:w="2330" w:type="dxa"/>
            <w:tcBorders>
              <w:top w:val="single" w:sz="8" w:space="0" w:color="655B58"/>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center"/>
            <w:hideMark/>
          </w:tcPr>
          <w:p w:rsidR="00935657" w:rsidRPr="00935657" w:rsidRDefault="00935657" w:rsidP="00935657">
            <w:pPr>
              <w:pStyle w:val="TableData"/>
            </w:pPr>
            <w:r w:rsidRPr="00935657">
              <w:t>Contractor</w:t>
            </w:r>
            <w:r w:rsidR="00276EDE">
              <w:t>-</w:t>
            </w:r>
            <w:r w:rsidRPr="00935657">
              <w:t>driven programs (HVAC, insulation and windows, water heating)</w:t>
            </w:r>
          </w:p>
        </w:tc>
        <w:tc>
          <w:tcPr>
            <w:tcW w:w="1402" w:type="dxa"/>
            <w:tcBorders>
              <w:top w:val="single" w:sz="8" w:space="0" w:color="655B58"/>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center"/>
            <w:hideMark/>
          </w:tcPr>
          <w:p w:rsidR="00935657" w:rsidRPr="00935657" w:rsidRDefault="00935657" w:rsidP="00935657">
            <w:pPr>
              <w:pStyle w:val="TableData"/>
              <w:jc w:val="center"/>
              <w:rPr>
                <w:sz w:val="22"/>
              </w:rPr>
            </w:pPr>
            <w:r w:rsidRPr="00935657">
              <w:rPr>
                <w:sz w:val="22"/>
              </w:rPr>
              <w:t>√</w:t>
            </w:r>
          </w:p>
        </w:tc>
        <w:tc>
          <w:tcPr>
            <w:tcW w:w="1402" w:type="dxa"/>
            <w:tcBorders>
              <w:top w:val="single" w:sz="8" w:space="0" w:color="655B58"/>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center"/>
            <w:hideMark/>
          </w:tcPr>
          <w:p w:rsidR="00935657" w:rsidRPr="00935657" w:rsidRDefault="00935657" w:rsidP="00935657">
            <w:pPr>
              <w:pStyle w:val="TableData"/>
              <w:jc w:val="center"/>
              <w:rPr>
                <w:sz w:val="22"/>
              </w:rPr>
            </w:pPr>
            <w:r w:rsidRPr="00935657">
              <w:rPr>
                <w:sz w:val="22"/>
              </w:rPr>
              <w:t>√</w:t>
            </w:r>
          </w:p>
        </w:tc>
        <w:tc>
          <w:tcPr>
            <w:tcW w:w="1402" w:type="dxa"/>
            <w:tcBorders>
              <w:top w:val="single" w:sz="8" w:space="0" w:color="655B58"/>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center"/>
            <w:hideMark/>
          </w:tcPr>
          <w:p w:rsidR="00935657" w:rsidRPr="00935657" w:rsidRDefault="00935657" w:rsidP="00935657">
            <w:pPr>
              <w:pStyle w:val="TableData"/>
              <w:jc w:val="center"/>
              <w:rPr>
                <w:sz w:val="22"/>
              </w:rPr>
            </w:pPr>
            <w:r w:rsidRPr="00935657">
              <w:rPr>
                <w:sz w:val="22"/>
              </w:rPr>
              <w:t>√</w:t>
            </w:r>
          </w:p>
        </w:tc>
        <w:tc>
          <w:tcPr>
            <w:tcW w:w="1402" w:type="dxa"/>
            <w:tcBorders>
              <w:top w:val="single" w:sz="8" w:space="0" w:color="655B58"/>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center"/>
            <w:hideMark/>
          </w:tcPr>
          <w:p w:rsidR="00935657" w:rsidRPr="00935657" w:rsidRDefault="00935657" w:rsidP="00935657">
            <w:pPr>
              <w:pStyle w:val="TableData"/>
              <w:jc w:val="center"/>
              <w:rPr>
                <w:sz w:val="22"/>
              </w:rPr>
            </w:pPr>
            <w:r w:rsidRPr="00935657">
              <w:rPr>
                <w:sz w:val="22"/>
              </w:rPr>
              <w:t>√</w:t>
            </w:r>
          </w:p>
        </w:tc>
        <w:tc>
          <w:tcPr>
            <w:tcW w:w="1402" w:type="dxa"/>
            <w:tcBorders>
              <w:top w:val="single" w:sz="8" w:space="0" w:color="655B58"/>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center"/>
            <w:hideMark/>
          </w:tcPr>
          <w:p w:rsidR="00935657" w:rsidRPr="00935657" w:rsidRDefault="00935657" w:rsidP="00935657">
            <w:pPr>
              <w:pStyle w:val="TableData"/>
              <w:jc w:val="center"/>
              <w:rPr>
                <w:sz w:val="22"/>
              </w:rPr>
            </w:pPr>
          </w:p>
        </w:tc>
      </w:tr>
      <w:tr w:rsidR="00935657" w:rsidRPr="00935657" w:rsidTr="00E02E90">
        <w:trPr>
          <w:trHeight w:val="607"/>
        </w:trPr>
        <w:tc>
          <w:tcPr>
            <w:tcW w:w="2330" w:type="dxa"/>
            <w:tcBorders>
              <w:top w:val="single" w:sz="8" w:space="0" w:color="655B58"/>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center"/>
            <w:hideMark/>
          </w:tcPr>
          <w:p w:rsidR="00935657" w:rsidRPr="00935657" w:rsidRDefault="00935657" w:rsidP="00935657">
            <w:pPr>
              <w:pStyle w:val="TableData"/>
            </w:pPr>
            <w:r w:rsidRPr="00935657">
              <w:t>Direct</w:t>
            </w:r>
            <w:r w:rsidR="00276EDE">
              <w:t xml:space="preserve"> </w:t>
            </w:r>
            <w:r w:rsidRPr="00935657">
              <w:t>delivery (home audits/home energy ratings, income qualified, multifamily direct install, energy education)</w:t>
            </w:r>
          </w:p>
        </w:tc>
        <w:tc>
          <w:tcPr>
            <w:tcW w:w="1402" w:type="dxa"/>
            <w:tcBorders>
              <w:top w:val="single" w:sz="8" w:space="0" w:color="655B58"/>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center"/>
            <w:hideMark/>
          </w:tcPr>
          <w:p w:rsidR="00935657" w:rsidRPr="00935657" w:rsidRDefault="00935657" w:rsidP="00935657">
            <w:pPr>
              <w:pStyle w:val="TableData"/>
              <w:jc w:val="center"/>
              <w:rPr>
                <w:sz w:val="22"/>
              </w:rPr>
            </w:pPr>
          </w:p>
        </w:tc>
        <w:tc>
          <w:tcPr>
            <w:tcW w:w="1402" w:type="dxa"/>
            <w:tcBorders>
              <w:top w:val="single" w:sz="8" w:space="0" w:color="655B58"/>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center"/>
            <w:hideMark/>
          </w:tcPr>
          <w:p w:rsidR="00935657" w:rsidRPr="00935657" w:rsidRDefault="00935657" w:rsidP="00935657">
            <w:pPr>
              <w:pStyle w:val="TableData"/>
              <w:jc w:val="center"/>
              <w:rPr>
                <w:sz w:val="22"/>
              </w:rPr>
            </w:pPr>
            <w:r w:rsidRPr="00935657">
              <w:rPr>
                <w:sz w:val="22"/>
              </w:rPr>
              <w:t>√</w:t>
            </w:r>
          </w:p>
        </w:tc>
        <w:tc>
          <w:tcPr>
            <w:tcW w:w="1402" w:type="dxa"/>
            <w:tcBorders>
              <w:top w:val="single" w:sz="8" w:space="0" w:color="655B58"/>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center"/>
            <w:hideMark/>
          </w:tcPr>
          <w:p w:rsidR="00935657" w:rsidRPr="00935657" w:rsidRDefault="00935657" w:rsidP="00935657">
            <w:pPr>
              <w:pStyle w:val="TableData"/>
              <w:jc w:val="center"/>
              <w:rPr>
                <w:sz w:val="22"/>
              </w:rPr>
            </w:pPr>
            <w:r w:rsidRPr="00935657">
              <w:rPr>
                <w:sz w:val="22"/>
              </w:rPr>
              <w:t>√</w:t>
            </w:r>
          </w:p>
        </w:tc>
        <w:tc>
          <w:tcPr>
            <w:tcW w:w="1402" w:type="dxa"/>
            <w:tcBorders>
              <w:top w:val="single" w:sz="8" w:space="0" w:color="655B58"/>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center"/>
            <w:hideMark/>
          </w:tcPr>
          <w:p w:rsidR="00935657" w:rsidRPr="00935657" w:rsidRDefault="00935657" w:rsidP="00935657">
            <w:pPr>
              <w:pStyle w:val="TableData"/>
              <w:jc w:val="center"/>
              <w:rPr>
                <w:sz w:val="22"/>
              </w:rPr>
            </w:pPr>
          </w:p>
        </w:tc>
        <w:tc>
          <w:tcPr>
            <w:tcW w:w="1402" w:type="dxa"/>
            <w:tcBorders>
              <w:top w:val="single" w:sz="8" w:space="0" w:color="655B58"/>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center"/>
            <w:hideMark/>
          </w:tcPr>
          <w:p w:rsidR="00935657" w:rsidRPr="00935657" w:rsidRDefault="00935657" w:rsidP="00935657">
            <w:pPr>
              <w:pStyle w:val="TableData"/>
              <w:jc w:val="center"/>
              <w:rPr>
                <w:sz w:val="22"/>
              </w:rPr>
            </w:pPr>
            <w:r w:rsidRPr="00935657">
              <w:rPr>
                <w:sz w:val="22"/>
              </w:rPr>
              <w:t>√</w:t>
            </w:r>
          </w:p>
        </w:tc>
      </w:tr>
      <w:tr w:rsidR="00935657" w:rsidRPr="00935657" w:rsidTr="00E02E90">
        <w:trPr>
          <w:trHeight w:val="607"/>
        </w:trPr>
        <w:tc>
          <w:tcPr>
            <w:tcW w:w="2330" w:type="dxa"/>
            <w:tcBorders>
              <w:top w:val="single" w:sz="8" w:space="0" w:color="655B58"/>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center"/>
            <w:hideMark/>
          </w:tcPr>
          <w:p w:rsidR="00935657" w:rsidRPr="00935657" w:rsidRDefault="00935657" w:rsidP="00935657">
            <w:pPr>
              <w:pStyle w:val="TableData"/>
            </w:pPr>
            <w:r w:rsidRPr="00935657">
              <w:t xml:space="preserve">Information and behavior-based programs </w:t>
            </w:r>
          </w:p>
        </w:tc>
        <w:tc>
          <w:tcPr>
            <w:tcW w:w="1402" w:type="dxa"/>
            <w:tcBorders>
              <w:top w:val="single" w:sz="8" w:space="0" w:color="655B58"/>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center"/>
            <w:hideMark/>
          </w:tcPr>
          <w:p w:rsidR="00935657" w:rsidRPr="00935657" w:rsidRDefault="00935657" w:rsidP="00935657">
            <w:pPr>
              <w:pStyle w:val="TableData"/>
              <w:jc w:val="center"/>
              <w:rPr>
                <w:sz w:val="22"/>
              </w:rPr>
            </w:pPr>
            <w:r w:rsidRPr="00935657">
              <w:rPr>
                <w:sz w:val="22"/>
              </w:rPr>
              <w:t>√</w:t>
            </w:r>
          </w:p>
        </w:tc>
        <w:tc>
          <w:tcPr>
            <w:tcW w:w="1402" w:type="dxa"/>
            <w:tcBorders>
              <w:top w:val="single" w:sz="8" w:space="0" w:color="655B58"/>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center"/>
            <w:hideMark/>
          </w:tcPr>
          <w:p w:rsidR="00935657" w:rsidRPr="00935657" w:rsidRDefault="00935657" w:rsidP="00935657">
            <w:pPr>
              <w:pStyle w:val="TableData"/>
              <w:jc w:val="center"/>
              <w:rPr>
                <w:sz w:val="22"/>
              </w:rPr>
            </w:pPr>
          </w:p>
        </w:tc>
        <w:tc>
          <w:tcPr>
            <w:tcW w:w="1402" w:type="dxa"/>
            <w:tcBorders>
              <w:top w:val="single" w:sz="8" w:space="0" w:color="655B58"/>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center"/>
            <w:hideMark/>
          </w:tcPr>
          <w:p w:rsidR="00935657" w:rsidRPr="00935657" w:rsidRDefault="00935657" w:rsidP="00935657">
            <w:pPr>
              <w:pStyle w:val="TableData"/>
              <w:jc w:val="center"/>
              <w:rPr>
                <w:sz w:val="22"/>
              </w:rPr>
            </w:pPr>
          </w:p>
        </w:tc>
        <w:tc>
          <w:tcPr>
            <w:tcW w:w="1402" w:type="dxa"/>
            <w:tcBorders>
              <w:top w:val="single" w:sz="8" w:space="0" w:color="655B58"/>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center"/>
            <w:hideMark/>
          </w:tcPr>
          <w:p w:rsidR="00935657" w:rsidRPr="00935657" w:rsidRDefault="00935657" w:rsidP="00935657">
            <w:pPr>
              <w:pStyle w:val="TableData"/>
              <w:jc w:val="center"/>
              <w:rPr>
                <w:sz w:val="22"/>
              </w:rPr>
            </w:pPr>
            <w:r w:rsidRPr="00935657">
              <w:rPr>
                <w:sz w:val="22"/>
              </w:rPr>
              <w:t>√</w:t>
            </w:r>
          </w:p>
        </w:tc>
        <w:tc>
          <w:tcPr>
            <w:tcW w:w="1402" w:type="dxa"/>
            <w:tcBorders>
              <w:top w:val="single" w:sz="8" w:space="0" w:color="655B58"/>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center"/>
            <w:hideMark/>
          </w:tcPr>
          <w:p w:rsidR="00935657" w:rsidRPr="00935657" w:rsidRDefault="00935657" w:rsidP="00935657">
            <w:pPr>
              <w:pStyle w:val="TableData"/>
              <w:jc w:val="center"/>
              <w:rPr>
                <w:sz w:val="22"/>
              </w:rPr>
            </w:pPr>
          </w:p>
        </w:tc>
      </w:tr>
    </w:tbl>
    <w:p w:rsidR="00BF2912" w:rsidRDefault="00BF2912" w:rsidP="00BF2912">
      <w:pPr>
        <w:pStyle w:val="ExhibitSource"/>
      </w:pPr>
      <w:r>
        <w:t>Source: Public Sector Consultants</w:t>
      </w:r>
      <w:r w:rsidR="00CB2440">
        <w:t xml:space="preserve"> </w:t>
      </w:r>
    </w:p>
    <w:p w:rsidR="00CC1240" w:rsidRPr="00050974" w:rsidRDefault="00CC1240" w:rsidP="00050974">
      <w:pPr>
        <w:pStyle w:val="BodyText"/>
      </w:pPr>
      <w:r w:rsidRPr="00050974">
        <w:t>Each</w:t>
      </w:r>
      <w:r w:rsidR="00A7385C">
        <w:t xml:space="preserve"> of the residential</w:t>
      </w:r>
      <w:r w:rsidRPr="00050974">
        <w:t xml:space="preserve"> program area</w:t>
      </w:r>
      <w:r w:rsidR="00A7385C">
        <w:t>s</w:t>
      </w:r>
      <w:r w:rsidRPr="00050974">
        <w:t xml:space="preserve"> </w:t>
      </w:r>
      <w:r w:rsidR="00A7385C">
        <w:t>are</w:t>
      </w:r>
      <w:r w:rsidR="00A7385C" w:rsidRPr="00050974">
        <w:t xml:space="preserve"> </w:t>
      </w:r>
      <w:r w:rsidRPr="00050974">
        <w:t>discussed in more detail below</w:t>
      </w:r>
      <w:r w:rsidR="00050974" w:rsidRPr="00050974">
        <w:t>.</w:t>
      </w:r>
    </w:p>
    <w:p w:rsidR="00207020" w:rsidRPr="0067732C" w:rsidRDefault="00CC1240" w:rsidP="0067732C">
      <w:pPr>
        <w:pStyle w:val="Heading3"/>
        <w:rPr>
          <w:rStyle w:val="Heading3Char"/>
          <w:b/>
          <w:bCs/>
          <w:iCs/>
        </w:rPr>
      </w:pPr>
      <w:bookmarkStart w:id="32" w:name="_Toc514432731"/>
      <w:bookmarkStart w:id="33" w:name="_Toc515529410"/>
      <w:bookmarkStart w:id="34" w:name="_Toc527121860"/>
      <w:bookmarkStart w:id="35" w:name="_Toc533742409"/>
      <w:bookmarkStart w:id="36" w:name="_Toc533742674"/>
      <w:r w:rsidRPr="0067732C">
        <w:rPr>
          <w:rStyle w:val="Heading3Char"/>
          <w:b/>
          <w:bCs/>
          <w:iCs/>
        </w:rPr>
        <w:t>High-</w:t>
      </w:r>
      <w:r w:rsidR="00FA5E02" w:rsidRPr="0067732C">
        <w:rPr>
          <w:rStyle w:val="Heading3Char"/>
          <w:b/>
          <w:bCs/>
          <w:iCs/>
        </w:rPr>
        <w:t>efficiency</w:t>
      </w:r>
      <w:r w:rsidRPr="0067732C">
        <w:rPr>
          <w:rStyle w:val="Heading3Char"/>
          <w:b/>
          <w:bCs/>
          <w:iCs/>
        </w:rPr>
        <w:t xml:space="preserve"> </w:t>
      </w:r>
      <w:r w:rsidR="005A3F0D">
        <w:rPr>
          <w:rStyle w:val="Heading3Char"/>
          <w:b/>
          <w:bCs/>
          <w:iCs/>
        </w:rPr>
        <w:t>P</w:t>
      </w:r>
      <w:r w:rsidRPr="0067732C">
        <w:rPr>
          <w:rStyle w:val="Heading3Char"/>
          <w:b/>
          <w:bCs/>
          <w:iCs/>
        </w:rPr>
        <w:t>roducts</w:t>
      </w:r>
      <w:bookmarkEnd w:id="32"/>
      <w:bookmarkEnd w:id="33"/>
      <w:bookmarkEnd w:id="34"/>
      <w:bookmarkEnd w:id="35"/>
      <w:bookmarkEnd w:id="36"/>
    </w:p>
    <w:p w:rsidR="00854A18" w:rsidRDefault="00854A18" w:rsidP="00346266">
      <w:pPr>
        <w:spacing w:before="120" w:after="120"/>
        <w:rPr>
          <w:rStyle w:val="Heading3Char"/>
        </w:rPr>
      </w:pPr>
      <w:bookmarkStart w:id="37" w:name="_Toc514432732"/>
      <w:bookmarkStart w:id="38" w:name="_Toc515529411"/>
      <w:bookmarkStart w:id="39" w:name="_Toc526809702"/>
      <w:bookmarkStart w:id="40" w:name="_Toc527121329"/>
      <w:bookmarkStart w:id="41" w:name="_Toc527121861"/>
      <w:bookmarkStart w:id="42" w:name="_Toc533742410"/>
      <w:bookmarkStart w:id="43" w:name="_Toc533742675"/>
      <w:r>
        <w:rPr>
          <w:rStyle w:val="Heading3Char"/>
          <w:noProof/>
        </w:rPr>
        <w:drawing>
          <wp:inline distT="0" distB="0" distL="0" distR="0">
            <wp:extent cx="1261392" cy="640080"/>
            <wp:effectExtent l="0" t="0" r="0" b="7620"/>
            <wp:docPr id="1036" name="Pictur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1392" cy="640080"/>
                    </a:xfrm>
                    <a:prstGeom prst="rect">
                      <a:avLst/>
                    </a:prstGeom>
                    <a:noFill/>
                  </pic:spPr>
                </pic:pic>
              </a:graphicData>
            </a:graphic>
          </wp:inline>
        </w:drawing>
      </w:r>
      <w:bookmarkEnd w:id="37"/>
      <w:bookmarkEnd w:id="38"/>
      <w:bookmarkEnd w:id="39"/>
      <w:bookmarkEnd w:id="40"/>
      <w:bookmarkEnd w:id="41"/>
      <w:bookmarkEnd w:id="42"/>
      <w:bookmarkEnd w:id="43"/>
    </w:p>
    <w:p w:rsidR="00CC1240" w:rsidRDefault="00854A18" w:rsidP="00207020">
      <w:pPr>
        <w:pStyle w:val="BodyText"/>
      </w:pPr>
      <w:r>
        <w:t>Energy-effi</w:t>
      </w:r>
      <w:r w:rsidR="005232AA">
        <w:t>cient</w:t>
      </w:r>
      <w:r w:rsidR="00FA5E02">
        <w:t xml:space="preserve"> products include lighting, appliances,</w:t>
      </w:r>
      <w:r w:rsidR="00996892">
        <w:t xml:space="preserve"> and consumer electronics. Qualifying products often carry the ENERGY STAR</w:t>
      </w:r>
      <w:r w:rsidR="00996892" w:rsidRPr="00996892">
        <w:rPr>
          <w:vertAlign w:val="superscript"/>
        </w:rPr>
        <w:t>®</w:t>
      </w:r>
      <w:r w:rsidR="00996892">
        <w:t xml:space="preserve"> label, which helps consumers identify high-efficiency options. There are </w:t>
      </w:r>
      <w:r w:rsidR="009C757F">
        <w:t xml:space="preserve">various ways in which utilities promote these </w:t>
      </w:r>
      <w:r w:rsidR="00996892">
        <w:t>high-efficiency products</w:t>
      </w:r>
      <w:r w:rsidR="009C757F">
        <w:t>, including</w:t>
      </w:r>
      <w:r w:rsidR="00996892">
        <w:t xml:space="preserve"> mail-in rebates, manufacturer and retailer buy downs, </w:t>
      </w:r>
      <w:r w:rsidR="001C19D9">
        <w:t xml:space="preserve">direct distribution, </w:t>
      </w:r>
      <w:r w:rsidR="00996892">
        <w:t>and</w:t>
      </w:r>
      <w:r w:rsidR="007B4B06">
        <w:t xml:space="preserve"> online or in-office</w:t>
      </w:r>
      <w:r w:rsidR="00996892">
        <w:t xml:space="preserve"> store</w:t>
      </w:r>
      <w:r w:rsidR="007B4B06">
        <w:t>fronts</w:t>
      </w:r>
      <w:r w:rsidR="00996892">
        <w:t xml:space="preserve">. </w:t>
      </w:r>
    </w:p>
    <w:p w:rsidR="005232AA" w:rsidRDefault="005232AA" w:rsidP="00207020">
      <w:pPr>
        <w:pStyle w:val="BodyText"/>
      </w:pPr>
      <w:r>
        <w:t xml:space="preserve">Both </w:t>
      </w:r>
      <w:r w:rsidR="000C2127">
        <w:t>Efficiency UNITED</w:t>
      </w:r>
      <w:r>
        <w:t xml:space="preserve"> and the MECA Collaborative offer programs to promote high-efficiency products</w:t>
      </w:r>
      <w:r w:rsidR="00A939B5">
        <w:t xml:space="preserve">. Specific product offerings may </w:t>
      </w:r>
      <w:r w:rsidR="008D6247">
        <w:t>vary based on product availability</w:t>
      </w:r>
      <w:r w:rsidR="007B4B06">
        <w:t>, customer interest, availability of retailer</w:t>
      </w:r>
      <w:r w:rsidR="00FA0640">
        <w:t>,</w:t>
      </w:r>
      <w:r w:rsidR="007B4B06">
        <w:t xml:space="preserve"> or </w:t>
      </w:r>
      <w:r w:rsidR="00FA0640">
        <w:t xml:space="preserve">other factors. </w:t>
      </w:r>
      <w:r w:rsidR="00370D51">
        <w:fldChar w:fldCharType="begin"/>
      </w:r>
      <w:r w:rsidR="00FA0640">
        <w:instrText xml:space="preserve"> REF _Ref513819181 \h </w:instrText>
      </w:r>
      <w:r w:rsidR="00370D51">
        <w:fldChar w:fldCharType="separate"/>
      </w:r>
      <w:r w:rsidR="005D34DF">
        <w:t xml:space="preserve">Exhibit </w:t>
      </w:r>
      <w:r w:rsidR="001E121C">
        <w:t>B-2</w:t>
      </w:r>
      <w:r w:rsidR="00370D51">
        <w:fldChar w:fldCharType="end"/>
      </w:r>
      <w:r w:rsidR="00FA0640">
        <w:t xml:space="preserve"> shows the measures listed in each of the program implementer plans. </w:t>
      </w:r>
    </w:p>
    <w:p w:rsidR="00FA0640" w:rsidRDefault="00FA0640" w:rsidP="00FA0640">
      <w:pPr>
        <w:pStyle w:val="ExhibitTitle"/>
      </w:pPr>
      <w:bookmarkStart w:id="44" w:name="_Ref513819181"/>
      <w:bookmarkStart w:id="45" w:name="_Ref513819173"/>
      <w:r>
        <w:t xml:space="preserve">Exhibit </w:t>
      </w:r>
      <w:bookmarkEnd w:id="44"/>
      <w:r w:rsidR="001E121C">
        <w:rPr>
          <w:noProof/>
        </w:rPr>
        <w:t>B-2</w:t>
      </w:r>
      <w:r>
        <w:t>: High-efficiency Products</w:t>
      </w:r>
      <w:bookmarkEnd w:id="45"/>
      <w:r>
        <w:t xml:space="preserve"> </w:t>
      </w:r>
    </w:p>
    <w:tbl>
      <w:tblPr>
        <w:tblStyle w:val="TableGrid"/>
        <w:tblW w:w="0" w:type="auto"/>
        <w:tblBorders>
          <w:left w:val="none" w:sz="0" w:space="0" w:color="auto"/>
          <w:right w:val="none" w:sz="0" w:space="0" w:color="auto"/>
          <w:insideV w:val="none" w:sz="0" w:space="0" w:color="auto"/>
        </w:tblBorders>
        <w:tblLook w:val="04A0"/>
      </w:tblPr>
      <w:tblGrid>
        <w:gridCol w:w="3662"/>
        <w:gridCol w:w="2844"/>
        <w:gridCol w:w="2844"/>
      </w:tblGrid>
      <w:tr w:rsidR="00A939B5" w:rsidRPr="00A939B5" w:rsidTr="0059433E">
        <w:tc>
          <w:tcPr>
            <w:tcW w:w="3662" w:type="dxa"/>
          </w:tcPr>
          <w:p w:rsidR="00A939B5" w:rsidRPr="00A939B5" w:rsidRDefault="0059433E" w:rsidP="0059433E">
            <w:pPr>
              <w:pStyle w:val="TableHeader"/>
              <w:jc w:val="center"/>
            </w:pPr>
            <w:r>
              <w:t xml:space="preserve">High-efficiency </w:t>
            </w:r>
            <w:r w:rsidR="003C40F0">
              <w:t>P</w:t>
            </w:r>
            <w:r>
              <w:t>roduct</w:t>
            </w:r>
          </w:p>
        </w:tc>
        <w:tc>
          <w:tcPr>
            <w:tcW w:w="2844" w:type="dxa"/>
          </w:tcPr>
          <w:p w:rsidR="00A939B5" w:rsidRPr="00A939B5" w:rsidRDefault="000C2127" w:rsidP="0059433E">
            <w:pPr>
              <w:pStyle w:val="TableHeader"/>
              <w:jc w:val="center"/>
            </w:pPr>
            <w:r>
              <w:t>Efficiency UNITED</w:t>
            </w:r>
          </w:p>
        </w:tc>
        <w:tc>
          <w:tcPr>
            <w:tcW w:w="2844" w:type="dxa"/>
          </w:tcPr>
          <w:p w:rsidR="00A939B5" w:rsidRPr="00A939B5" w:rsidRDefault="0059433E" w:rsidP="0059433E">
            <w:pPr>
              <w:pStyle w:val="TableHeader"/>
              <w:jc w:val="center"/>
            </w:pPr>
            <w:r>
              <w:t>MECA Collaborative</w:t>
            </w:r>
          </w:p>
        </w:tc>
      </w:tr>
      <w:tr w:rsidR="00A939B5" w:rsidRPr="00A939B5" w:rsidTr="0059433E">
        <w:tc>
          <w:tcPr>
            <w:tcW w:w="3662" w:type="dxa"/>
          </w:tcPr>
          <w:p w:rsidR="00A939B5" w:rsidRPr="00A939B5" w:rsidRDefault="00A939B5" w:rsidP="0059433E">
            <w:pPr>
              <w:pStyle w:val="TableData"/>
            </w:pPr>
            <w:r w:rsidRPr="00A939B5">
              <w:t>ENERGY STAR light bulbs and fixtures (</w:t>
            </w:r>
            <w:r w:rsidR="002245FC">
              <w:t>c</w:t>
            </w:r>
            <w:r w:rsidR="00E57AE6">
              <w:t xml:space="preserve">ompact </w:t>
            </w:r>
            <w:r w:rsidR="002245FC">
              <w:t>f</w:t>
            </w:r>
            <w:r w:rsidR="00E57AE6">
              <w:t xml:space="preserve">luorescent </w:t>
            </w:r>
            <w:r w:rsidR="002245FC">
              <w:t>l</w:t>
            </w:r>
            <w:r w:rsidR="00E57AE6">
              <w:t>ightbulb</w:t>
            </w:r>
            <w:r w:rsidRPr="00A939B5">
              <w:t>s)</w:t>
            </w:r>
          </w:p>
        </w:tc>
        <w:tc>
          <w:tcPr>
            <w:tcW w:w="2844" w:type="dxa"/>
          </w:tcPr>
          <w:p w:rsidR="00A939B5" w:rsidRPr="00A939B5" w:rsidRDefault="00A939B5" w:rsidP="0059433E">
            <w:pPr>
              <w:pStyle w:val="TableData"/>
              <w:jc w:val="center"/>
            </w:pPr>
          </w:p>
        </w:tc>
        <w:tc>
          <w:tcPr>
            <w:tcW w:w="2844" w:type="dxa"/>
          </w:tcPr>
          <w:p w:rsidR="00A939B5" w:rsidRPr="00A939B5" w:rsidRDefault="0059433E" w:rsidP="0059433E">
            <w:pPr>
              <w:pStyle w:val="TableData"/>
              <w:jc w:val="center"/>
            </w:pPr>
            <w:r w:rsidRPr="00231569">
              <w:rPr>
                <w:sz w:val="22"/>
              </w:rPr>
              <w:t>√</w:t>
            </w:r>
          </w:p>
        </w:tc>
      </w:tr>
      <w:tr w:rsidR="00A939B5" w:rsidRPr="00A939B5" w:rsidTr="0059433E">
        <w:tc>
          <w:tcPr>
            <w:tcW w:w="3662" w:type="dxa"/>
          </w:tcPr>
          <w:p w:rsidR="00A939B5" w:rsidRPr="00A939B5" w:rsidRDefault="00A939B5" w:rsidP="0059433E">
            <w:pPr>
              <w:pStyle w:val="TableData"/>
            </w:pPr>
            <w:r w:rsidRPr="00A939B5">
              <w:t>ENERGY STAR light bulbs and fixtures (LEDs)</w:t>
            </w:r>
          </w:p>
        </w:tc>
        <w:tc>
          <w:tcPr>
            <w:tcW w:w="2844" w:type="dxa"/>
          </w:tcPr>
          <w:p w:rsidR="00A939B5" w:rsidRPr="00A939B5" w:rsidRDefault="0059433E" w:rsidP="0059433E">
            <w:pPr>
              <w:pStyle w:val="TableData"/>
              <w:jc w:val="center"/>
            </w:pPr>
            <w:r w:rsidRPr="00231569">
              <w:rPr>
                <w:sz w:val="22"/>
              </w:rPr>
              <w:t>√</w:t>
            </w:r>
          </w:p>
        </w:tc>
        <w:tc>
          <w:tcPr>
            <w:tcW w:w="2844" w:type="dxa"/>
          </w:tcPr>
          <w:p w:rsidR="00A939B5" w:rsidRPr="00A939B5" w:rsidRDefault="0059433E" w:rsidP="0059433E">
            <w:pPr>
              <w:pStyle w:val="TableData"/>
              <w:jc w:val="center"/>
            </w:pPr>
            <w:r w:rsidRPr="00231569">
              <w:rPr>
                <w:sz w:val="22"/>
              </w:rPr>
              <w:t>√</w:t>
            </w:r>
          </w:p>
        </w:tc>
      </w:tr>
      <w:tr w:rsidR="00A939B5" w:rsidRPr="00A939B5" w:rsidTr="0059433E">
        <w:tc>
          <w:tcPr>
            <w:tcW w:w="3662" w:type="dxa"/>
          </w:tcPr>
          <w:p w:rsidR="00A939B5" w:rsidRPr="00A939B5" w:rsidRDefault="00A939B5" w:rsidP="0059433E">
            <w:pPr>
              <w:pStyle w:val="TableData"/>
            </w:pPr>
            <w:r w:rsidRPr="00A939B5">
              <w:t>ENERGY STAR ceiling fans</w:t>
            </w:r>
          </w:p>
        </w:tc>
        <w:tc>
          <w:tcPr>
            <w:tcW w:w="2844" w:type="dxa"/>
          </w:tcPr>
          <w:p w:rsidR="00A939B5" w:rsidRPr="00A939B5" w:rsidRDefault="0059433E" w:rsidP="0059433E">
            <w:pPr>
              <w:pStyle w:val="TableData"/>
              <w:jc w:val="center"/>
            </w:pPr>
            <w:r w:rsidRPr="00231569">
              <w:rPr>
                <w:sz w:val="22"/>
              </w:rPr>
              <w:t>√</w:t>
            </w:r>
          </w:p>
        </w:tc>
        <w:tc>
          <w:tcPr>
            <w:tcW w:w="2844" w:type="dxa"/>
          </w:tcPr>
          <w:p w:rsidR="00A939B5" w:rsidRPr="00A939B5" w:rsidRDefault="0059433E" w:rsidP="0059433E">
            <w:pPr>
              <w:pStyle w:val="TableData"/>
              <w:jc w:val="center"/>
            </w:pPr>
            <w:r w:rsidRPr="00231569">
              <w:rPr>
                <w:sz w:val="22"/>
              </w:rPr>
              <w:t>√</w:t>
            </w:r>
          </w:p>
        </w:tc>
      </w:tr>
      <w:tr w:rsidR="00A939B5" w:rsidRPr="00A939B5" w:rsidTr="0059433E">
        <w:tc>
          <w:tcPr>
            <w:tcW w:w="3662" w:type="dxa"/>
          </w:tcPr>
          <w:p w:rsidR="00A939B5" w:rsidRPr="00A939B5" w:rsidRDefault="00A939B5" w:rsidP="0059433E">
            <w:pPr>
              <w:pStyle w:val="TableData"/>
            </w:pPr>
            <w:r w:rsidRPr="00A939B5">
              <w:t>Advanced power strips</w:t>
            </w:r>
          </w:p>
        </w:tc>
        <w:tc>
          <w:tcPr>
            <w:tcW w:w="2844" w:type="dxa"/>
          </w:tcPr>
          <w:p w:rsidR="00A939B5" w:rsidRPr="00A939B5" w:rsidRDefault="00A939B5" w:rsidP="0059433E">
            <w:pPr>
              <w:pStyle w:val="TableData"/>
              <w:jc w:val="center"/>
            </w:pPr>
          </w:p>
        </w:tc>
        <w:tc>
          <w:tcPr>
            <w:tcW w:w="2844" w:type="dxa"/>
          </w:tcPr>
          <w:p w:rsidR="00A939B5" w:rsidRPr="00A939B5" w:rsidRDefault="0059433E" w:rsidP="0059433E">
            <w:pPr>
              <w:pStyle w:val="TableData"/>
              <w:jc w:val="center"/>
            </w:pPr>
            <w:r w:rsidRPr="00231569">
              <w:rPr>
                <w:sz w:val="22"/>
              </w:rPr>
              <w:t>√</w:t>
            </w:r>
          </w:p>
        </w:tc>
      </w:tr>
      <w:tr w:rsidR="0059433E" w:rsidRPr="00A939B5" w:rsidTr="0059433E">
        <w:tc>
          <w:tcPr>
            <w:tcW w:w="3662" w:type="dxa"/>
          </w:tcPr>
          <w:p w:rsidR="0059433E" w:rsidRPr="00A939B5" w:rsidRDefault="0059433E" w:rsidP="0059433E">
            <w:pPr>
              <w:pStyle w:val="TableData"/>
            </w:pPr>
            <w:r w:rsidRPr="00A939B5">
              <w:t>ENERGY STAR room air conditioners</w:t>
            </w:r>
          </w:p>
        </w:tc>
        <w:tc>
          <w:tcPr>
            <w:tcW w:w="2844" w:type="dxa"/>
          </w:tcPr>
          <w:p w:rsidR="0059433E" w:rsidRPr="00A939B5" w:rsidRDefault="0059433E" w:rsidP="0059433E">
            <w:pPr>
              <w:pStyle w:val="TableData"/>
              <w:jc w:val="center"/>
            </w:pPr>
          </w:p>
        </w:tc>
        <w:tc>
          <w:tcPr>
            <w:tcW w:w="2844" w:type="dxa"/>
          </w:tcPr>
          <w:p w:rsidR="0059433E" w:rsidRPr="00A939B5" w:rsidRDefault="0059433E" w:rsidP="0059433E">
            <w:pPr>
              <w:pStyle w:val="TableData"/>
              <w:jc w:val="center"/>
            </w:pPr>
            <w:r w:rsidRPr="006D3FDB">
              <w:rPr>
                <w:sz w:val="22"/>
              </w:rPr>
              <w:t>√</w:t>
            </w:r>
          </w:p>
        </w:tc>
      </w:tr>
      <w:tr w:rsidR="0059433E" w:rsidRPr="00A939B5" w:rsidTr="0059433E">
        <w:tc>
          <w:tcPr>
            <w:tcW w:w="3662" w:type="dxa"/>
          </w:tcPr>
          <w:p w:rsidR="0059433E" w:rsidRPr="00A939B5" w:rsidRDefault="0059433E" w:rsidP="0059433E">
            <w:pPr>
              <w:pStyle w:val="TableData"/>
            </w:pPr>
            <w:r w:rsidRPr="00A939B5">
              <w:t>ENERGY STAR dehumidifier</w:t>
            </w:r>
          </w:p>
        </w:tc>
        <w:tc>
          <w:tcPr>
            <w:tcW w:w="2844" w:type="dxa"/>
          </w:tcPr>
          <w:p w:rsidR="0059433E" w:rsidRPr="00A939B5" w:rsidRDefault="0059433E" w:rsidP="0059433E">
            <w:pPr>
              <w:pStyle w:val="TableData"/>
              <w:jc w:val="center"/>
            </w:pPr>
            <w:r w:rsidRPr="00231569">
              <w:rPr>
                <w:sz w:val="22"/>
              </w:rPr>
              <w:t>√</w:t>
            </w:r>
          </w:p>
        </w:tc>
        <w:tc>
          <w:tcPr>
            <w:tcW w:w="2844" w:type="dxa"/>
          </w:tcPr>
          <w:p w:rsidR="0059433E" w:rsidRPr="00A939B5" w:rsidRDefault="0059433E" w:rsidP="0059433E">
            <w:pPr>
              <w:pStyle w:val="TableData"/>
              <w:jc w:val="center"/>
            </w:pPr>
            <w:r w:rsidRPr="006D3FDB">
              <w:rPr>
                <w:sz w:val="22"/>
              </w:rPr>
              <w:t>√</w:t>
            </w:r>
          </w:p>
        </w:tc>
      </w:tr>
      <w:tr w:rsidR="0059433E" w:rsidRPr="00A939B5" w:rsidTr="0059433E">
        <w:tc>
          <w:tcPr>
            <w:tcW w:w="3662" w:type="dxa"/>
          </w:tcPr>
          <w:p w:rsidR="0059433E" w:rsidRPr="00A939B5" w:rsidRDefault="0059433E" w:rsidP="0059433E">
            <w:pPr>
              <w:pStyle w:val="TableData"/>
            </w:pPr>
            <w:r w:rsidRPr="00A939B5">
              <w:lastRenderedPageBreak/>
              <w:t>ENERGY STAR clothes washer and dryers</w:t>
            </w:r>
            <w:r>
              <w:t xml:space="preserve"> (with moisture sensor)</w:t>
            </w:r>
            <w:r w:rsidRPr="00A939B5">
              <w:t xml:space="preserve"> </w:t>
            </w:r>
          </w:p>
        </w:tc>
        <w:tc>
          <w:tcPr>
            <w:tcW w:w="2844" w:type="dxa"/>
          </w:tcPr>
          <w:p w:rsidR="0059433E" w:rsidRPr="00A939B5" w:rsidRDefault="0059433E" w:rsidP="0059433E">
            <w:pPr>
              <w:pStyle w:val="TableData"/>
              <w:jc w:val="center"/>
            </w:pPr>
            <w:r w:rsidRPr="00231569">
              <w:rPr>
                <w:sz w:val="22"/>
              </w:rPr>
              <w:t>√</w:t>
            </w:r>
          </w:p>
        </w:tc>
        <w:tc>
          <w:tcPr>
            <w:tcW w:w="2844" w:type="dxa"/>
          </w:tcPr>
          <w:p w:rsidR="0059433E" w:rsidRPr="00A939B5" w:rsidRDefault="0059433E" w:rsidP="0059433E">
            <w:pPr>
              <w:pStyle w:val="TableData"/>
              <w:jc w:val="center"/>
            </w:pPr>
            <w:r w:rsidRPr="006D3FDB">
              <w:rPr>
                <w:sz w:val="22"/>
              </w:rPr>
              <w:t>√</w:t>
            </w:r>
          </w:p>
        </w:tc>
      </w:tr>
      <w:tr w:rsidR="0059433E" w:rsidRPr="00A939B5" w:rsidTr="0059433E">
        <w:tc>
          <w:tcPr>
            <w:tcW w:w="3662" w:type="dxa"/>
          </w:tcPr>
          <w:p w:rsidR="0059433E" w:rsidRPr="00A939B5" w:rsidRDefault="0059433E" w:rsidP="0059433E">
            <w:pPr>
              <w:pStyle w:val="TableData"/>
            </w:pPr>
            <w:r w:rsidRPr="00A939B5">
              <w:t>ENERGY STAR refrigerator</w:t>
            </w:r>
          </w:p>
        </w:tc>
        <w:tc>
          <w:tcPr>
            <w:tcW w:w="2844" w:type="dxa"/>
          </w:tcPr>
          <w:p w:rsidR="0059433E" w:rsidRPr="00A939B5" w:rsidRDefault="0059433E" w:rsidP="0059433E">
            <w:pPr>
              <w:pStyle w:val="TableData"/>
              <w:jc w:val="center"/>
            </w:pPr>
          </w:p>
        </w:tc>
        <w:tc>
          <w:tcPr>
            <w:tcW w:w="2844" w:type="dxa"/>
          </w:tcPr>
          <w:p w:rsidR="0059433E" w:rsidRPr="00A939B5" w:rsidRDefault="0059433E" w:rsidP="0059433E">
            <w:pPr>
              <w:pStyle w:val="TableData"/>
              <w:jc w:val="center"/>
            </w:pPr>
            <w:r w:rsidRPr="006D3FDB">
              <w:rPr>
                <w:sz w:val="22"/>
              </w:rPr>
              <w:t>√</w:t>
            </w:r>
          </w:p>
        </w:tc>
      </w:tr>
      <w:tr w:rsidR="0059433E" w:rsidRPr="00A939B5" w:rsidTr="0059433E">
        <w:tc>
          <w:tcPr>
            <w:tcW w:w="3662" w:type="dxa"/>
          </w:tcPr>
          <w:p w:rsidR="0059433E" w:rsidRPr="00A939B5" w:rsidRDefault="0059433E" w:rsidP="0059433E">
            <w:pPr>
              <w:pStyle w:val="TableData"/>
            </w:pPr>
            <w:r w:rsidRPr="00A939B5">
              <w:t>ENERGY STAR dishwashers</w:t>
            </w:r>
          </w:p>
        </w:tc>
        <w:tc>
          <w:tcPr>
            <w:tcW w:w="2844" w:type="dxa"/>
          </w:tcPr>
          <w:p w:rsidR="0059433E" w:rsidRPr="00A939B5" w:rsidRDefault="0059433E" w:rsidP="0059433E">
            <w:pPr>
              <w:pStyle w:val="TableData"/>
              <w:jc w:val="center"/>
            </w:pPr>
          </w:p>
        </w:tc>
        <w:tc>
          <w:tcPr>
            <w:tcW w:w="2844" w:type="dxa"/>
          </w:tcPr>
          <w:p w:rsidR="0059433E" w:rsidRPr="00A939B5" w:rsidRDefault="0059433E" w:rsidP="0059433E">
            <w:pPr>
              <w:pStyle w:val="TableData"/>
              <w:jc w:val="center"/>
            </w:pPr>
            <w:r w:rsidRPr="006D3FDB">
              <w:rPr>
                <w:sz w:val="22"/>
              </w:rPr>
              <w:t>√</w:t>
            </w:r>
          </w:p>
        </w:tc>
      </w:tr>
      <w:tr w:rsidR="0059433E" w:rsidRPr="00A939B5" w:rsidTr="0059433E">
        <w:tc>
          <w:tcPr>
            <w:tcW w:w="3662" w:type="dxa"/>
          </w:tcPr>
          <w:p w:rsidR="0059433E" w:rsidRPr="00A939B5" w:rsidRDefault="0059433E" w:rsidP="0059433E">
            <w:pPr>
              <w:pStyle w:val="TableData"/>
            </w:pPr>
            <w:r w:rsidRPr="00A939B5">
              <w:t>ENERGY STAR televisions</w:t>
            </w:r>
          </w:p>
        </w:tc>
        <w:tc>
          <w:tcPr>
            <w:tcW w:w="2844" w:type="dxa"/>
          </w:tcPr>
          <w:p w:rsidR="0059433E" w:rsidRPr="00A939B5" w:rsidRDefault="0059433E" w:rsidP="0059433E">
            <w:pPr>
              <w:pStyle w:val="TableData"/>
              <w:jc w:val="center"/>
            </w:pPr>
            <w:r w:rsidRPr="00231569">
              <w:rPr>
                <w:sz w:val="22"/>
              </w:rPr>
              <w:t>√</w:t>
            </w:r>
          </w:p>
        </w:tc>
        <w:tc>
          <w:tcPr>
            <w:tcW w:w="2844" w:type="dxa"/>
          </w:tcPr>
          <w:p w:rsidR="0059433E" w:rsidRPr="00A939B5" w:rsidRDefault="0059433E" w:rsidP="0059433E">
            <w:pPr>
              <w:pStyle w:val="TableData"/>
              <w:jc w:val="center"/>
            </w:pPr>
            <w:r w:rsidRPr="006D3FDB">
              <w:rPr>
                <w:sz w:val="22"/>
              </w:rPr>
              <w:t>√</w:t>
            </w:r>
          </w:p>
        </w:tc>
      </w:tr>
      <w:tr w:rsidR="0059433E" w:rsidRPr="00A939B5" w:rsidTr="0059433E">
        <w:tc>
          <w:tcPr>
            <w:tcW w:w="3662" w:type="dxa"/>
          </w:tcPr>
          <w:p w:rsidR="0059433E" w:rsidRPr="00A939B5" w:rsidRDefault="0059433E" w:rsidP="0059433E">
            <w:pPr>
              <w:pStyle w:val="TableData"/>
            </w:pPr>
            <w:r w:rsidRPr="00A939B5">
              <w:t>ENERGY STAR air purifier</w:t>
            </w:r>
          </w:p>
        </w:tc>
        <w:tc>
          <w:tcPr>
            <w:tcW w:w="2844" w:type="dxa"/>
          </w:tcPr>
          <w:p w:rsidR="0059433E" w:rsidRPr="00A939B5" w:rsidRDefault="0059433E" w:rsidP="0059433E">
            <w:pPr>
              <w:pStyle w:val="TableData"/>
              <w:jc w:val="center"/>
            </w:pPr>
            <w:r w:rsidRPr="00231569">
              <w:rPr>
                <w:sz w:val="22"/>
              </w:rPr>
              <w:t>√</w:t>
            </w:r>
          </w:p>
        </w:tc>
        <w:tc>
          <w:tcPr>
            <w:tcW w:w="2844" w:type="dxa"/>
          </w:tcPr>
          <w:p w:rsidR="0059433E" w:rsidRPr="00A939B5" w:rsidRDefault="0059433E" w:rsidP="0059433E">
            <w:pPr>
              <w:pStyle w:val="TableData"/>
              <w:jc w:val="center"/>
            </w:pPr>
          </w:p>
        </w:tc>
      </w:tr>
      <w:tr w:rsidR="0059433E" w:rsidRPr="00A939B5" w:rsidTr="0059433E">
        <w:tc>
          <w:tcPr>
            <w:tcW w:w="3662" w:type="dxa"/>
          </w:tcPr>
          <w:p w:rsidR="0059433E" w:rsidRPr="00A939B5" w:rsidRDefault="0059433E" w:rsidP="0059433E">
            <w:pPr>
              <w:pStyle w:val="TableData"/>
            </w:pPr>
            <w:r w:rsidRPr="00A939B5">
              <w:t>LED holiday lights</w:t>
            </w:r>
          </w:p>
        </w:tc>
        <w:tc>
          <w:tcPr>
            <w:tcW w:w="2844" w:type="dxa"/>
          </w:tcPr>
          <w:p w:rsidR="0059433E" w:rsidRPr="00A939B5" w:rsidRDefault="0059433E" w:rsidP="0059433E">
            <w:pPr>
              <w:pStyle w:val="TableData"/>
              <w:jc w:val="center"/>
            </w:pPr>
          </w:p>
        </w:tc>
        <w:tc>
          <w:tcPr>
            <w:tcW w:w="2844" w:type="dxa"/>
          </w:tcPr>
          <w:p w:rsidR="0059433E" w:rsidRPr="00A939B5" w:rsidRDefault="0059433E" w:rsidP="0059433E">
            <w:pPr>
              <w:pStyle w:val="TableData"/>
              <w:jc w:val="center"/>
            </w:pPr>
            <w:r w:rsidRPr="006D3FDB">
              <w:rPr>
                <w:sz w:val="22"/>
              </w:rPr>
              <w:t>√</w:t>
            </w:r>
          </w:p>
        </w:tc>
      </w:tr>
    </w:tbl>
    <w:p w:rsidR="007E0F63" w:rsidRDefault="007E0F63" w:rsidP="007E0F63">
      <w:pPr>
        <w:pStyle w:val="ExhibitSource"/>
      </w:pPr>
      <w:r>
        <w:t>Source:</w:t>
      </w:r>
      <w:r w:rsidR="00F17407">
        <w:t xml:space="preserve"> PSC compiled data from</w:t>
      </w:r>
      <w:r>
        <w:t xml:space="preserve"> </w:t>
      </w:r>
      <w:r w:rsidR="000C2127">
        <w:t>Efficiency UNITED</w:t>
      </w:r>
      <w:r w:rsidR="005D26F8">
        <w:t xml:space="preserve"> and MECA Collaborative 2018</w:t>
      </w:r>
      <w:r w:rsidR="00F17407">
        <w:rPr>
          <w:rFonts w:ascii="Corbel" w:hAnsi="Corbel"/>
        </w:rPr>
        <w:t>–</w:t>
      </w:r>
      <w:r w:rsidR="005D26F8">
        <w:t>2019 program filings.</w:t>
      </w:r>
    </w:p>
    <w:p w:rsidR="007970BC" w:rsidRDefault="006A70AE" w:rsidP="00364D57">
      <w:pPr>
        <w:pStyle w:val="BodyText"/>
      </w:pPr>
      <w:r>
        <w:t xml:space="preserve">Historically, high-efficiency product programs have delivered a significant portion of the portfolio savings for the utilities in the U.P., in part </w:t>
      </w:r>
      <w:r w:rsidR="005E5D28">
        <w:t xml:space="preserve">because of market transformation savings bonuses and because of </w:t>
      </w:r>
      <w:r w:rsidR="00381641">
        <w:t>the</w:t>
      </w:r>
      <w:r w:rsidR="005E5D28">
        <w:t xml:space="preserve"> variety of available technologies. </w:t>
      </w:r>
      <w:r w:rsidR="00381641">
        <w:t xml:space="preserve">In 2016, these programs accounted </w:t>
      </w:r>
      <w:r w:rsidR="00613075">
        <w:t xml:space="preserve">for </w:t>
      </w:r>
      <w:r w:rsidR="004F2661">
        <w:t xml:space="preserve">over 70 percent of residential savings and nearly 30 percent of overall portfolio savings. </w:t>
      </w:r>
    </w:p>
    <w:p w:rsidR="007970BC" w:rsidRDefault="004F2661" w:rsidP="00364D57">
      <w:pPr>
        <w:pStyle w:val="BodyText"/>
      </w:pPr>
      <w:r>
        <w:t xml:space="preserve">All of the common delivery strategies have been deployed in the U.P. </w:t>
      </w:r>
      <w:r w:rsidR="001E19CB">
        <w:t xml:space="preserve">Lighting measures are promoted primarily through participating retailers, while </w:t>
      </w:r>
      <w:r w:rsidR="001C19D9">
        <w:t>mail-in rebates are often used for other measures. Direct distribution, e.g., giveaways at events or mailing commonly used light bulbs to remote customers, has been used to introduce energy</w:t>
      </w:r>
      <w:r w:rsidR="00D728A1">
        <w:t>-</w:t>
      </w:r>
      <w:r w:rsidR="001C19D9">
        <w:t>efficient technologies</w:t>
      </w:r>
      <w:r w:rsidR="00F17407">
        <w:t xml:space="preserve"> as well</w:t>
      </w:r>
      <w:r w:rsidR="001C19D9">
        <w:t xml:space="preserve">. While these </w:t>
      </w:r>
      <w:r w:rsidR="00951D09">
        <w:t xml:space="preserve">strategies have allowed </w:t>
      </w:r>
      <w:r w:rsidR="00997FBD">
        <w:t>utilities to meet or exceed</w:t>
      </w:r>
      <w:r w:rsidR="00951D09">
        <w:t xml:space="preserve"> program goals, there are</w:t>
      </w:r>
      <w:r w:rsidR="009C757F">
        <w:t xml:space="preserve"> further opportunities as well as </w:t>
      </w:r>
      <w:r w:rsidR="00951D09">
        <w:t>limitations for enhancement. Many U.P. residents live far from a retail corridor and several utilities lack a participating retailer in their service area. Customers may purchase qualifying measures at retailers outside of their service area, creating challenges to accurately reporting savings</w:t>
      </w:r>
      <w:r w:rsidR="00DB0398">
        <w:t xml:space="preserve"> across utilities and </w:t>
      </w:r>
      <w:r w:rsidR="00B16B28">
        <w:t>implementer</w:t>
      </w:r>
      <w:r w:rsidR="00DB0398">
        <w:t>s. Limited retail outlets may also constrain</w:t>
      </w:r>
      <w:r w:rsidR="00951D09">
        <w:t xml:space="preserve"> customers’ high-efficiency product options. </w:t>
      </w:r>
      <w:r w:rsidR="00370D51">
        <w:fldChar w:fldCharType="begin"/>
      </w:r>
      <w:r w:rsidR="001D7FD9">
        <w:instrText xml:space="preserve"> REF _Ref514145387 \h </w:instrText>
      </w:r>
      <w:r w:rsidR="00370D51">
        <w:fldChar w:fldCharType="separate"/>
      </w:r>
      <w:r w:rsidR="005D34DF">
        <w:t xml:space="preserve">Exhibit </w:t>
      </w:r>
      <w:r w:rsidR="001E121C">
        <w:rPr>
          <w:noProof/>
        </w:rPr>
        <w:t>B-3</w:t>
      </w:r>
      <w:r w:rsidR="00370D51">
        <w:fldChar w:fldCharType="end"/>
      </w:r>
      <w:r w:rsidR="00346266">
        <w:t xml:space="preserve"> shows the locations of retail outlets in the U.P. that offer discounted lighting</w:t>
      </w:r>
      <w:r w:rsidR="00A7385C">
        <w:t xml:space="preserve"> listed on the program websites in early May of 2018</w:t>
      </w:r>
      <w:r w:rsidR="00346266">
        <w:t xml:space="preserve">. </w:t>
      </w:r>
      <w:r w:rsidR="001D7FD9">
        <w:t>There are a number of locations on the west side of the peninsula, but no locations on the east side</w:t>
      </w:r>
      <w:r w:rsidR="00A7385C">
        <w:t xml:space="preserve"> at that time. In discussions with the program implementers, there are retailers that</w:t>
      </w:r>
      <w:r w:rsidR="000D795A">
        <w:t xml:space="preserve"> participate in programs, but because of budgets and product availability, were not active at the time the websites were accessed (</w:t>
      </w:r>
      <w:r w:rsidR="00F17407">
        <w:t xml:space="preserve">Lisa </w:t>
      </w:r>
      <w:r w:rsidR="000D795A">
        <w:t>Pucelik, pers.</w:t>
      </w:r>
      <w:r w:rsidR="00F17407">
        <w:t xml:space="preserve"> </w:t>
      </w:r>
      <w:r w:rsidR="000D795A">
        <w:t>comm.)</w:t>
      </w:r>
      <w:r w:rsidR="00D06AB3">
        <w:t>.</w:t>
      </w:r>
    </w:p>
    <w:p w:rsidR="00346266" w:rsidRDefault="00346266" w:rsidP="00346266">
      <w:pPr>
        <w:pStyle w:val="ExhibitTitle"/>
      </w:pPr>
      <w:bookmarkStart w:id="46" w:name="_Ref514145387"/>
      <w:r>
        <w:lastRenderedPageBreak/>
        <w:t xml:space="preserve">Exhibit </w:t>
      </w:r>
      <w:bookmarkEnd w:id="46"/>
      <w:r w:rsidR="001E121C">
        <w:rPr>
          <w:noProof/>
        </w:rPr>
        <w:t>B-3</w:t>
      </w:r>
      <w:r>
        <w:t xml:space="preserve">: Location of Retail Outlets </w:t>
      </w:r>
    </w:p>
    <w:p w:rsidR="00997FBD" w:rsidRDefault="00997FBD" w:rsidP="007529EE">
      <w:pPr>
        <w:pStyle w:val="ExhibitSource"/>
      </w:pPr>
      <w:r>
        <w:rPr>
          <w:noProof/>
        </w:rPr>
        <w:drawing>
          <wp:inline distT="0" distB="0" distL="0" distR="0">
            <wp:extent cx="5943600" cy="2986430"/>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2986430"/>
                    </a:xfrm>
                    <a:prstGeom prst="rect">
                      <a:avLst/>
                    </a:prstGeom>
                    <a:noFill/>
                  </pic:spPr>
                </pic:pic>
              </a:graphicData>
            </a:graphic>
          </wp:inline>
        </w:drawing>
      </w:r>
    </w:p>
    <w:p w:rsidR="007529EE" w:rsidRDefault="007529EE" w:rsidP="007529EE">
      <w:pPr>
        <w:pStyle w:val="ExhibitSource"/>
      </w:pPr>
      <w:r>
        <w:t xml:space="preserve">Source: </w:t>
      </w:r>
      <w:r w:rsidR="00902881">
        <w:t xml:space="preserve">PSC analysis of </w:t>
      </w:r>
      <w:r w:rsidR="000A7BFD">
        <w:t>W</w:t>
      </w:r>
      <w:r w:rsidR="00902881">
        <w:t xml:space="preserve">eb-based retailer search tools at </w:t>
      </w:r>
      <w:hyperlink r:id="rId35" w:history="1">
        <w:r w:rsidR="00902881" w:rsidRPr="00E12F15">
          <w:rPr>
            <w:rStyle w:val="Hyperlink"/>
          </w:rPr>
          <w:t>www.efficiencyunited.com</w:t>
        </w:r>
      </w:hyperlink>
      <w:r w:rsidR="00902881">
        <w:t xml:space="preserve"> and </w:t>
      </w:r>
      <w:hyperlink r:id="rId36" w:history="1">
        <w:r w:rsidR="00902881" w:rsidRPr="00E12F15">
          <w:rPr>
            <w:rStyle w:val="Hyperlink"/>
          </w:rPr>
          <w:t>www.michigan-energy.org</w:t>
        </w:r>
      </w:hyperlink>
      <w:r w:rsidR="00902881">
        <w:t>.</w:t>
      </w:r>
      <w:r w:rsidR="00CB2440">
        <w:t xml:space="preserve"> </w:t>
      </w:r>
    </w:p>
    <w:p w:rsidR="00965113" w:rsidRDefault="00965113" w:rsidP="00364D57">
      <w:pPr>
        <w:pStyle w:val="BodyText"/>
      </w:pPr>
      <w:r>
        <w:t>Both program implementers offer mail-in rebates, particularly for larger measures</w:t>
      </w:r>
      <w:r w:rsidR="002245FC">
        <w:t>,</w:t>
      </w:r>
      <w:r w:rsidR="00997FBD">
        <w:t xml:space="preserve"> such as clothes washers or dishwashers</w:t>
      </w:r>
      <w:r>
        <w:t xml:space="preserve">. Product offerings and documentation requirements vary between implementers and in some cases, between utilities. </w:t>
      </w:r>
    </w:p>
    <w:p w:rsidR="00DB0398" w:rsidRDefault="00965113" w:rsidP="00364D57">
      <w:pPr>
        <w:pStyle w:val="BodyText"/>
      </w:pPr>
      <w:r>
        <w:t xml:space="preserve">Under a </w:t>
      </w:r>
      <w:r w:rsidR="003B2694">
        <w:t>Strategic Portfolio</w:t>
      </w:r>
      <w:r>
        <w:t xml:space="preserve"> </w:t>
      </w:r>
      <w:r w:rsidR="00902881">
        <w:t>scenario, the program implementers would work to establish consistent product offerings, incentive strategies, and documentation requirements. Noting the challenges of retailer coverage</w:t>
      </w:r>
      <w:r w:rsidR="009C757F">
        <w:t>,</w:t>
      </w:r>
      <w:r w:rsidR="00902881">
        <w:t xml:space="preserve"> and increasing broadband access throughout the U.P., establishing an online store </w:t>
      </w:r>
      <w:r w:rsidR="009C757F">
        <w:t xml:space="preserve">is increasingly feasible </w:t>
      </w:r>
      <w:r w:rsidR="000D795A">
        <w:t xml:space="preserve">and </w:t>
      </w:r>
      <w:r w:rsidR="007101F3">
        <w:t>could provide substantial benefits.</w:t>
      </w:r>
      <w:r w:rsidR="00DB0398">
        <w:rPr>
          <w:rStyle w:val="FootnoteReference"/>
        </w:rPr>
        <w:footnoteReference w:id="21"/>
      </w:r>
      <w:r w:rsidR="007101F3">
        <w:t xml:space="preserve"> These benefits include:</w:t>
      </w:r>
    </w:p>
    <w:p w:rsidR="007101F3" w:rsidRDefault="007101F3" w:rsidP="007101F3">
      <w:pPr>
        <w:pStyle w:val="ListBullet"/>
      </w:pPr>
      <w:r>
        <w:t>Increased ability to track savings by utility</w:t>
      </w:r>
    </w:p>
    <w:p w:rsidR="007101F3" w:rsidRDefault="007101F3" w:rsidP="007101F3">
      <w:pPr>
        <w:pStyle w:val="ListBullet"/>
      </w:pPr>
      <w:r>
        <w:t>Universal access for all U.P. residents</w:t>
      </w:r>
      <w:r w:rsidR="00174CE6">
        <w:t xml:space="preserve"> in participating service areas</w:t>
      </w:r>
    </w:p>
    <w:p w:rsidR="007101F3" w:rsidRDefault="007101F3" w:rsidP="007101F3">
      <w:pPr>
        <w:pStyle w:val="ListBullet"/>
      </w:pPr>
      <w:r>
        <w:t>Opportunity to educate consumers and provide information to help customers make purchase decisions based on individual needs and preferences</w:t>
      </w:r>
    </w:p>
    <w:p w:rsidR="007101F3" w:rsidRDefault="007101F3" w:rsidP="007101F3">
      <w:pPr>
        <w:pStyle w:val="ListBullet"/>
      </w:pPr>
      <w:r>
        <w:t xml:space="preserve">Instant access to information about consumer preferences </w:t>
      </w:r>
    </w:p>
    <w:p w:rsidR="007101F3" w:rsidRDefault="00AF6A7E" w:rsidP="007101F3">
      <w:pPr>
        <w:pStyle w:val="ListBullet"/>
      </w:pPr>
      <w:r>
        <w:t>Ability to optimize product offerings based on consumer preferences, efficiency levels, and cost-effectiveness</w:t>
      </w:r>
    </w:p>
    <w:p w:rsidR="00965113" w:rsidRDefault="00AF6A7E" w:rsidP="00965113">
      <w:pPr>
        <w:pStyle w:val="BodyText"/>
      </w:pPr>
      <w:r>
        <w:t>An example of a regional online store serving multiple utilities is one offered by a collaborative group of utilities in Colorado</w:t>
      </w:r>
      <w:r w:rsidR="009C757F">
        <w:t xml:space="preserve"> operating</w:t>
      </w:r>
      <w:r w:rsidR="00B0479B">
        <w:t xml:space="preserve"> under</w:t>
      </w:r>
      <w:r w:rsidR="009C757F">
        <w:t xml:space="preserve"> the name Efficiency Works</w:t>
      </w:r>
      <w:r>
        <w:t>.</w:t>
      </w:r>
      <w:r>
        <w:rPr>
          <w:rStyle w:val="FootnoteReference"/>
        </w:rPr>
        <w:footnoteReference w:id="22"/>
      </w:r>
      <w:r>
        <w:t xml:space="preserve"> This online store provides extensive product information </w:t>
      </w:r>
      <w:r w:rsidR="00174CE6">
        <w:t xml:space="preserve">and </w:t>
      </w:r>
      <w:r w:rsidR="00BF2912">
        <w:t>advice to</w:t>
      </w:r>
      <w:r w:rsidR="00997FBD">
        <w:t xml:space="preserve"> allow customers to</w:t>
      </w:r>
      <w:r w:rsidR="00BF2912">
        <w:t xml:space="preserve"> select the most appropriate technologies. </w:t>
      </w:r>
      <w:r w:rsidR="00BF2912">
        <w:lastRenderedPageBreak/>
        <w:t>Manufacturer discounts can be stacked with available rebates, lowering the cost of the energy</w:t>
      </w:r>
      <w:r w:rsidR="00BC6DB8">
        <w:t>-</w:t>
      </w:r>
      <w:r w:rsidR="00BF2912">
        <w:t xml:space="preserve">efficiency measures to maximize benefits to both utilities and consumers. </w:t>
      </w:r>
      <w:r w:rsidR="002035C6">
        <w:t>In addition to lighting and thermostat measures, this online store offer</w:t>
      </w:r>
      <w:r w:rsidR="00BC6DB8">
        <w:t>s</w:t>
      </w:r>
      <w:r w:rsidR="002035C6">
        <w:t xml:space="preserve"> home automation technologies. Though these measures are not currently in the </w:t>
      </w:r>
      <w:r w:rsidR="009C757F">
        <w:t>Michigan Energy Measures Database (</w:t>
      </w:r>
      <w:r w:rsidR="002035C6">
        <w:t>MEMD</w:t>
      </w:r>
      <w:r w:rsidR="009C757F">
        <w:t>)</w:t>
      </w:r>
      <w:r w:rsidR="002035C6">
        <w:t xml:space="preserve">, they are an important emerging technology that may expand </w:t>
      </w:r>
      <w:r w:rsidR="00375018">
        <w:t xml:space="preserve">future </w:t>
      </w:r>
      <w:r w:rsidR="00A65DC8">
        <w:t>energy-</w:t>
      </w:r>
      <w:r w:rsidR="002035C6">
        <w:t>efficiency potential.</w:t>
      </w:r>
      <w:r w:rsidR="009C757F">
        <w:rPr>
          <w:rStyle w:val="FootnoteReference"/>
        </w:rPr>
        <w:footnoteReference w:id="23"/>
      </w:r>
      <w:r w:rsidR="002035C6">
        <w:t xml:space="preserve"> </w:t>
      </w:r>
    </w:p>
    <w:p w:rsidR="00965113" w:rsidRDefault="00965113" w:rsidP="00965113">
      <w:pPr>
        <w:pStyle w:val="BodyText"/>
      </w:pPr>
      <w:r>
        <w:t xml:space="preserve">A new initiative introduced by the </w:t>
      </w:r>
      <w:r w:rsidR="00086575">
        <w:t xml:space="preserve">U.S. </w:t>
      </w:r>
      <w:r>
        <w:t>Environmental Protection Agency</w:t>
      </w:r>
      <w:r w:rsidR="00086575">
        <w:t>, t</w:t>
      </w:r>
      <w:r>
        <w:t>he agency that administers ENERGY STAR, is the ENERGY STAR Most Efficient 2018</w:t>
      </w:r>
      <w:r w:rsidR="00086575">
        <w:t xml:space="preserve"> distinction.</w:t>
      </w:r>
      <w:r>
        <w:rPr>
          <w:rStyle w:val="FootnoteReference"/>
        </w:rPr>
        <w:footnoteReference w:id="24"/>
      </w:r>
      <w:r>
        <w:t xml:space="preserve"> This initiative identifies products that embody the highest levels of efficiency and technology innovation and provide the greatest savings to consumers. Through an online store, programs can provide information and structure incentives to encourage adoption of these most</w:t>
      </w:r>
      <w:r w:rsidR="00086575">
        <w:t>-</w:t>
      </w:r>
      <w:r>
        <w:t>efficient technologies.</w:t>
      </w:r>
    </w:p>
    <w:p w:rsidR="00B662AE" w:rsidRDefault="0010385C" w:rsidP="00364D57">
      <w:pPr>
        <w:pStyle w:val="BodyText"/>
      </w:pPr>
      <w:r>
        <w:t xml:space="preserve">An online store also creates an opportunity to </w:t>
      </w:r>
      <w:r w:rsidR="00301C3F">
        <w:t xml:space="preserve">develop a common identity for U.P. EWR initiatives. </w:t>
      </w:r>
      <w:r w:rsidR="00B662AE">
        <w:t xml:space="preserve">Delivering a program under a single banner can generate market momentum, increase consumer awareness, and simplify the process for accessing and choosing high-efficiency products. </w:t>
      </w:r>
      <w:r w:rsidR="004764DA">
        <w:t xml:space="preserve">A centralized online store to serve U.P. customers provides increased leverage to negotiate favorable pricing for technologies and a mechanism for passing on savings directly to consumers. </w:t>
      </w:r>
    </w:p>
    <w:p w:rsidR="00B62057" w:rsidRDefault="00370D51" w:rsidP="00364D57">
      <w:pPr>
        <w:pStyle w:val="BodyText"/>
      </w:pPr>
      <w:r>
        <w:fldChar w:fldCharType="begin"/>
      </w:r>
      <w:r w:rsidR="005D34DF">
        <w:instrText xml:space="preserve"> REF _Ref514227127 \h </w:instrText>
      </w:r>
      <w:r>
        <w:fldChar w:fldCharType="separate"/>
      </w:r>
      <w:r w:rsidR="00086575">
        <w:t xml:space="preserve">Exhibit </w:t>
      </w:r>
      <w:r>
        <w:fldChar w:fldCharType="end"/>
      </w:r>
      <w:r w:rsidR="001E121C">
        <w:t>B-4</w:t>
      </w:r>
      <w:r w:rsidR="00B62057">
        <w:t xml:space="preserve"> identifies impacts and costs for a </w:t>
      </w:r>
      <w:r w:rsidR="003B2694">
        <w:t>Business as Usual</w:t>
      </w:r>
      <w:r w:rsidR="00B62057">
        <w:t xml:space="preserve"> scenario and for a</w:t>
      </w:r>
      <w:r w:rsidR="00123134">
        <w:t xml:space="preserve"> peninsula-wide</w:t>
      </w:r>
      <w:r w:rsidR="00B62057">
        <w:t xml:space="preserve"> </w:t>
      </w:r>
      <w:r w:rsidR="003B2694">
        <w:t>Strategic Portfolio</w:t>
      </w:r>
      <w:r w:rsidR="00123134">
        <w:t xml:space="preserve"> scenario</w:t>
      </w:r>
      <w:r w:rsidR="00B62057">
        <w:t xml:space="preserve">. </w:t>
      </w:r>
      <w:r w:rsidR="00965113">
        <w:t>The high</w:t>
      </w:r>
      <w:r w:rsidR="00F81A9E">
        <w:t>-</w:t>
      </w:r>
      <w:r w:rsidR="00965113">
        <w:t>efficiency products program</w:t>
      </w:r>
      <w:r w:rsidR="00B62057">
        <w:t xml:space="preserve"> is historica</w:t>
      </w:r>
      <w:r w:rsidR="0067732C">
        <w:t>l</w:t>
      </w:r>
      <w:r w:rsidR="00B62057">
        <w:t>l</w:t>
      </w:r>
      <w:r w:rsidR="0067732C">
        <w:t>y</w:t>
      </w:r>
      <w:r w:rsidR="00B62057">
        <w:t xml:space="preserve"> one of the most cost-effective</w:t>
      </w:r>
      <w:r w:rsidR="00B03E5B">
        <w:t xml:space="preserve"> programs</w:t>
      </w:r>
      <w:r w:rsidR="00B62057">
        <w:t>, delivering savings at a cost of conserved energy</w:t>
      </w:r>
      <w:r w:rsidR="00F81A9E">
        <w:t xml:space="preserve"> (CCE)</w:t>
      </w:r>
      <w:r w:rsidR="00B62057">
        <w:t xml:space="preserve"> of </w:t>
      </w:r>
      <w:r w:rsidR="00123134">
        <w:t>approximately $0.02</w:t>
      </w:r>
      <w:r w:rsidR="00B62057">
        <w:t xml:space="preserve"> per kWh.</w:t>
      </w:r>
      <w:r w:rsidR="00A65DC8">
        <w:rPr>
          <w:rStyle w:val="FootnoteReference"/>
        </w:rPr>
        <w:footnoteReference w:id="25"/>
      </w:r>
      <w:r w:rsidR="002245FC" w:rsidRPr="002459A9">
        <w:rPr>
          <w:vertAlign w:val="superscript"/>
        </w:rPr>
        <w:t>,</w:t>
      </w:r>
      <w:r w:rsidR="00BB2AF9">
        <w:rPr>
          <w:rStyle w:val="FootnoteReference"/>
        </w:rPr>
        <w:footnoteReference w:id="26"/>
      </w:r>
      <w:r w:rsidR="00B62057">
        <w:t xml:space="preserve"> </w:t>
      </w:r>
      <w:r w:rsidR="001D23DE">
        <w:t xml:space="preserve">Program enhancement activities would be focused on </w:t>
      </w:r>
      <w:r w:rsidR="002035C6">
        <w:t xml:space="preserve">improving the ease of program participation, </w:t>
      </w:r>
      <w:r w:rsidR="001D23DE">
        <w:t>expanding program</w:t>
      </w:r>
      <w:r w:rsidR="00B567C5">
        <w:t xml:space="preserve"> reach</w:t>
      </w:r>
      <w:r w:rsidR="0067732C">
        <w:t>,</w:t>
      </w:r>
      <w:r w:rsidR="001D23DE">
        <w:t xml:space="preserve"> and increasing savings</w:t>
      </w:r>
      <w:r w:rsidR="00B567C5">
        <w:t xml:space="preserve"> diversity</w:t>
      </w:r>
      <w:r w:rsidR="001D23DE">
        <w:t xml:space="preserve">, i.e., increasing savings from </w:t>
      </w:r>
      <w:proofErr w:type="spellStart"/>
      <w:r w:rsidR="001D23DE">
        <w:t>nonlighting</w:t>
      </w:r>
      <w:proofErr w:type="spellEnd"/>
      <w:r w:rsidR="001D23DE">
        <w:t xml:space="preserve"> measures</w:t>
      </w:r>
      <w:r w:rsidR="00B03E5B">
        <w:t>, which are currently the standard</w:t>
      </w:r>
      <w:r w:rsidR="001D23DE">
        <w:t xml:space="preserve">. </w:t>
      </w:r>
      <w:r w:rsidR="00B03E5B">
        <w:t>Under the Strategic Portfolio scenario, enhancement activities</w:t>
      </w:r>
      <w:r w:rsidR="00242DFE">
        <w:t xml:space="preserve"> result in </w:t>
      </w:r>
      <w:r w:rsidR="00D37742">
        <w:t xml:space="preserve">a </w:t>
      </w:r>
      <w:r w:rsidR="00242DFE">
        <w:t xml:space="preserve">small increase in </w:t>
      </w:r>
      <w:r w:rsidR="00B10AB3">
        <w:t xml:space="preserve">the </w:t>
      </w:r>
      <w:r w:rsidR="00F81A9E">
        <w:t>CCE</w:t>
      </w:r>
      <w:r w:rsidR="00B03E5B">
        <w:t xml:space="preserve"> from the Business as Usual </w:t>
      </w:r>
      <w:r w:rsidR="00A41F03">
        <w:t>scenario but</w:t>
      </w:r>
      <w:r w:rsidR="00242DFE">
        <w:t xml:space="preserve"> </w:t>
      </w:r>
      <w:r w:rsidR="007857CA">
        <w:t>create</w:t>
      </w:r>
      <w:r w:rsidR="008412F4">
        <w:t xml:space="preserve"> increased savings opportunities and </w:t>
      </w:r>
      <w:r w:rsidR="007857CA">
        <w:t xml:space="preserve">improved </w:t>
      </w:r>
      <w:r w:rsidR="008412F4">
        <w:t>program sustainability</w:t>
      </w:r>
      <w:r w:rsidR="00B03E5B">
        <w:t xml:space="preserve"> in the long run</w:t>
      </w:r>
      <w:r w:rsidR="008412F4">
        <w:t xml:space="preserve">. </w:t>
      </w:r>
    </w:p>
    <w:p w:rsidR="00123134" w:rsidRDefault="00123134" w:rsidP="00123134">
      <w:pPr>
        <w:pStyle w:val="ExhibitTitle"/>
      </w:pPr>
      <w:bookmarkStart w:id="47" w:name="_Ref514227127"/>
      <w:r>
        <w:t xml:space="preserve">Exhibit </w:t>
      </w:r>
      <w:bookmarkEnd w:id="47"/>
      <w:r w:rsidR="001E121C">
        <w:rPr>
          <w:noProof/>
        </w:rPr>
        <w:t>B-4</w:t>
      </w:r>
      <w:r>
        <w:t xml:space="preserve">: </w:t>
      </w:r>
      <w:r w:rsidR="005D34DF">
        <w:t>High</w:t>
      </w:r>
      <w:r w:rsidR="00F81A9E">
        <w:t>-e</w:t>
      </w:r>
      <w:r w:rsidR="005D34DF">
        <w:t>fficiency Products Program</w:t>
      </w:r>
      <w:r>
        <w:t xml:space="preserve"> </w:t>
      </w:r>
    </w:p>
    <w:tbl>
      <w:tblPr>
        <w:tblW w:w="7805" w:type="dxa"/>
        <w:tblBorders>
          <w:bottom w:val="single" w:sz="4" w:space="0" w:color="auto"/>
          <w:insideH w:val="single" w:sz="4" w:space="0" w:color="auto"/>
        </w:tblBorders>
        <w:tblLook w:val="04A0"/>
      </w:tblPr>
      <w:tblGrid>
        <w:gridCol w:w="2785"/>
        <w:gridCol w:w="2520"/>
        <w:gridCol w:w="2500"/>
      </w:tblGrid>
      <w:tr w:rsidR="00123134" w:rsidRPr="00123134" w:rsidTr="00123134">
        <w:trPr>
          <w:trHeight w:val="300"/>
        </w:trPr>
        <w:tc>
          <w:tcPr>
            <w:tcW w:w="2785" w:type="dxa"/>
            <w:shd w:val="clear" w:color="auto" w:fill="auto"/>
            <w:noWrap/>
            <w:vAlign w:val="bottom"/>
            <w:hideMark/>
          </w:tcPr>
          <w:p w:rsidR="00123134" w:rsidRPr="00DF6930" w:rsidRDefault="00123134" w:rsidP="00DF6930">
            <w:pPr>
              <w:pStyle w:val="TableHeader"/>
              <w:jc w:val="center"/>
            </w:pPr>
          </w:p>
        </w:tc>
        <w:tc>
          <w:tcPr>
            <w:tcW w:w="2520" w:type="dxa"/>
            <w:shd w:val="clear" w:color="auto" w:fill="auto"/>
            <w:noWrap/>
            <w:vAlign w:val="bottom"/>
            <w:hideMark/>
          </w:tcPr>
          <w:p w:rsidR="00123134" w:rsidRPr="00DF6930" w:rsidRDefault="00123134" w:rsidP="00DF6930">
            <w:pPr>
              <w:pStyle w:val="TableHeader"/>
              <w:jc w:val="center"/>
            </w:pPr>
            <w:r w:rsidRPr="00DF6930">
              <w:t>Business as Usual</w:t>
            </w:r>
          </w:p>
        </w:tc>
        <w:tc>
          <w:tcPr>
            <w:tcW w:w="2500" w:type="dxa"/>
            <w:shd w:val="clear" w:color="auto" w:fill="auto"/>
            <w:noWrap/>
            <w:vAlign w:val="bottom"/>
            <w:hideMark/>
          </w:tcPr>
          <w:p w:rsidR="00123134" w:rsidRPr="00DF6930" w:rsidRDefault="00123134" w:rsidP="00DF6930">
            <w:pPr>
              <w:pStyle w:val="TableHeader"/>
              <w:jc w:val="center"/>
            </w:pPr>
            <w:r w:rsidRPr="00DF6930">
              <w:t>Strategic Portfolio</w:t>
            </w:r>
          </w:p>
        </w:tc>
      </w:tr>
      <w:tr w:rsidR="00123134" w:rsidRPr="00123134" w:rsidTr="00123134">
        <w:trPr>
          <w:trHeight w:val="300"/>
        </w:trPr>
        <w:tc>
          <w:tcPr>
            <w:tcW w:w="2785" w:type="dxa"/>
            <w:shd w:val="clear" w:color="auto" w:fill="auto"/>
            <w:noWrap/>
            <w:vAlign w:val="bottom"/>
            <w:hideMark/>
          </w:tcPr>
          <w:p w:rsidR="00123134" w:rsidRPr="00123134" w:rsidRDefault="00123134" w:rsidP="00DF6930">
            <w:pPr>
              <w:pStyle w:val="TableData"/>
            </w:pPr>
            <w:r w:rsidRPr="00123134">
              <w:t xml:space="preserve">Annual </w:t>
            </w:r>
            <w:r w:rsidR="00BD1840">
              <w:t>s</w:t>
            </w:r>
            <w:r w:rsidRPr="00123134">
              <w:t>avings (MWh)</w:t>
            </w:r>
          </w:p>
        </w:tc>
        <w:tc>
          <w:tcPr>
            <w:tcW w:w="2520" w:type="dxa"/>
            <w:shd w:val="clear" w:color="auto" w:fill="auto"/>
            <w:noWrap/>
            <w:vAlign w:val="bottom"/>
            <w:hideMark/>
          </w:tcPr>
          <w:p w:rsidR="00123134" w:rsidRPr="00123134" w:rsidRDefault="00123134" w:rsidP="00DF6930">
            <w:pPr>
              <w:pStyle w:val="TableData"/>
              <w:jc w:val="center"/>
            </w:pPr>
            <w:r w:rsidRPr="00123134">
              <w:t>8,962</w:t>
            </w:r>
          </w:p>
        </w:tc>
        <w:tc>
          <w:tcPr>
            <w:tcW w:w="2500" w:type="dxa"/>
            <w:shd w:val="clear" w:color="auto" w:fill="auto"/>
            <w:noWrap/>
            <w:vAlign w:val="bottom"/>
            <w:hideMark/>
          </w:tcPr>
          <w:p w:rsidR="00123134" w:rsidRPr="00123134" w:rsidRDefault="00123134" w:rsidP="00DF6930">
            <w:pPr>
              <w:pStyle w:val="TableData"/>
              <w:jc w:val="center"/>
            </w:pPr>
            <w:r w:rsidRPr="00123134">
              <w:t>10,754</w:t>
            </w:r>
          </w:p>
        </w:tc>
      </w:tr>
      <w:tr w:rsidR="00123134" w:rsidRPr="00123134" w:rsidTr="00123134">
        <w:trPr>
          <w:trHeight w:val="300"/>
        </w:trPr>
        <w:tc>
          <w:tcPr>
            <w:tcW w:w="2785" w:type="dxa"/>
            <w:shd w:val="clear" w:color="auto" w:fill="auto"/>
            <w:noWrap/>
            <w:vAlign w:val="bottom"/>
            <w:hideMark/>
          </w:tcPr>
          <w:p w:rsidR="00123134" w:rsidRPr="00123134" w:rsidRDefault="00123134" w:rsidP="00DF6930">
            <w:pPr>
              <w:pStyle w:val="TableData"/>
            </w:pPr>
            <w:r w:rsidRPr="00123134">
              <w:t xml:space="preserve">Annual </w:t>
            </w:r>
            <w:r w:rsidR="00BD1840">
              <w:t>e</w:t>
            </w:r>
            <w:r w:rsidRPr="00123134">
              <w:t>xpenditure (</w:t>
            </w:r>
            <w:r w:rsidR="00BD1840">
              <w:t xml:space="preserve">in </w:t>
            </w:r>
            <w:r w:rsidR="006C387F">
              <w:t>thousands</w:t>
            </w:r>
            <w:r w:rsidRPr="00123134">
              <w:t>)</w:t>
            </w:r>
          </w:p>
        </w:tc>
        <w:tc>
          <w:tcPr>
            <w:tcW w:w="2520" w:type="dxa"/>
            <w:shd w:val="clear" w:color="auto" w:fill="auto"/>
            <w:noWrap/>
            <w:vAlign w:val="bottom"/>
            <w:hideMark/>
          </w:tcPr>
          <w:p w:rsidR="00123134" w:rsidRPr="00123134" w:rsidRDefault="00123134" w:rsidP="00DF6930">
            <w:pPr>
              <w:pStyle w:val="TableData"/>
              <w:jc w:val="center"/>
            </w:pPr>
            <w:r w:rsidRPr="00123134">
              <w:t>$1,364</w:t>
            </w:r>
          </w:p>
        </w:tc>
        <w:tc>
          <w:tcPr>
            <w:tcW w:w="2500" w:type="dxa"/>
            <w:shd w:val="clear" w:color="auto" w:fill="auto"/>
            <w:noWrap/>
            <w:vAlign w:val="bottom"/>
            <w:hideMark/>
          </w:tcPr>
          <w:p w:rsidR="00123134" w:rsidRPr="00123134" w:rsidRDefault="00123134" w:rsidP="00DF6930">
            <w:pPr>
              <w:pStyle w:val="TableData"/>
              <w:jc w:val="center"/>
            </w:pPr>
            <w:r w:rsidRPr="00123134">
              <w:t>$1,773</w:t>
            </w:r>
          </w:p>
        </w:tc>
      </w:tr>
      <w:tr w:rsidR="00123134" w:rsidRPr="00123134" w:rsidTr="00123134">
        <w:trPr>
          <w:trHeight w:val="300"/>
        </w:trPr>
        <w:tc>
          <w:tcPr>
            <w:tcW w:w="2785" w:type="dxa"/>
            <w:shd w:val="clear" w:color="auto" w:fill="auto"/>
            <w:noWrap/>
            <w:vAlign w:val="bottom"/>
            <w:hideMark/>
          </w:tcPr>
          <w:p w:rsidR="00123134" w:rsidRPr="00123134" w:rsidRDefault="00123134" w:rsidP="00DF6930">
            <w:pPr>
              <w:pStyle w:val="TableData"/>
            </w:pPr>
            <w:r w:rsidRPr="00123134">
              <w:t xml:space="preserve">Cost of </w:t>
            </w:r>
            <w:r w:rsidR="00BD1840">
              <w:t>c</w:t>
            </w:r>
            <w:r w:rsidRPr="00123134">
              <w:t xml:space="preserve">onserved </w:t>
            </w:r>
            <w:r w:rsidR="00BD1840">
              <w:t>e</w:t>
            </w:r>
            <w:r w:rsidRPr="00123134">
              <w:t>nergy</w:t>
            </w:r>
          </w:p>
        </w:tc>
        <w:tc>
          <w:tcPr>
            <w:tcW w:w="2520" w:type="dxa"/>
            <w:shd w:val="clear" w:color="auto" w:fill="auto"/>
            <w:noWrap/>
            <w:vAlign w:val="bottom"/>
            <w:hideMark/>
          </w:tcPr>
          <w:p w:rsidR="00123134" w:rsidRPr="00123134" w:rsidRDefault="00123134" w:rsidP="00DF6930">
            <w:pPr>
              <w:pStyle w:val="TableData"/>
              <w:jc w:val="center"/>
            </w:pPr>
            <w:r w:rsidRPr="00123134">
              <w:t>$0.0210</w:t>
            </w:r>
          </w:p>
        </w:tc>
        <w:tc>
          <w:tcPr>
            <w:tcW w:w="2500" w:type="dxa"/>
            <w:shd w:val="clear" w:color="auto" w:fill="auto"/>
            <w:noWrap/>
            <w:vAlign w:val="bottom"/>
            <w:hideMark/>
          </w:tcPr>
          <w:p w:rsidR="00123134" w:rsidRPr="00123134" w:rsidRDefault="00123134" w:rsidP="00DF6930">
            <w:pPr>
              <w:pStyle w:val="TableData"/>
              <w:jc w:val="center"/>
            </w:pPr>
            <w:r w:rsidRPr="00123134">
              <w:t>$0.0227</w:t>
            </w:r>
          </w:p>
        </w:tc>
      </w:tr>
    </w:tbl>
    <w:p w:rsidR="00E31E8A" w:rsidRDefault="00E31E8A" w:rsidP="00E31E8A">
      <w:pPr>
        <w:pStyle w:val="ExhibitSource"/>
      </w:pPr>
      <w:r>
        <w:t>Source: Public Sector Consultants analysis.</w:t>
      </w:r>
    </w:p>
    <w:p w:rsidR="007970BC" w:rsidRPr="0067732C" w:rsidRDefault="007970BC" w:rsidP="0067732C">
      <w:pPr>
        <w:pStyle w:val="Heading3"/>
        <w:rPr>
          <w:rStyle w:val="Heading3Char"/>
          <w:b/>
          <w:bCs/>
          <w:iCs/>
        </w:rPr>
      </w:pPr>
      <w:bookmarkStart w:id="48" w:name="_Toc514432733"/>
      <w:bookmarkStart w:id="49" w:name="_Toc515529412"/>
      <w:bookmarkStart w:id="50" w:name="_Toc527121862"/>
      <w:bookmarkStart w:id="51" w:name="_Toc533742411"/>
      <w:bookmarkStart w:id="52" w:name="_Toc533742676"/>
      <w:r w:rsidRPr="0067732C">
        <w:rPr>
          <w:rStyle w:val="Heading3Char"/>
          <w:b/>
          <w:bCs/>
          <w:iCs/>
        </w:rPr>
        <w:lastRenderedPageBreak/>
        <w:t xml:space="preserve">Contractor-driven </w:t>
      </w:r>
      <w:r w:rsidR="005A3F0D">
        <w:rPr>
          <w:rStyle w:val="Heading3Char"/>
          <w:b/>
          <w:bCs/>
          <w:iCs/>
        </w:rPr>
        <w:t>P</w:t>
      </w:r>
      <w:r w:rsidRPr="0067732C">
        <w:rPr>
          <w:rStyle w:val="Heading3Char"/>
          <w:b/>
          <w:bCs/>
          <w:iCs/>
        </w:rPr>
        <w:t>rograms</w:t>
      </w:r>
      <w:r w:rsidR="00902881">
        <w:rPr>
          <w:rStyle w:val="Heading3Char"/>
          <w:b/>
          <w:bCs/>
          <w:iCs/>
        </w:rPr>
        <w:t xml:space="preserve"> (</w:t>
      </w:r>
      <w:r w:rsidR="005A3F0D">
        <w:rPr>
          <w:rStyle w:val="Heading3Char"/>
          <w:b/>
          <w:bCs/>
          <w:iCs/>
        </w:rPr>
        <w:t>E</w:t>
      </w:r>
      <w:r w:rsidR="00902881">
        <w:rPr>
          <w:rStyle w:val="Heading3Char"/>
          <w:b/>
          <w:bCs/>
          <w:iCs/>
        </w:rPr>
        <w:t xml:space="preserve">quipment and </w:t>
      </w:r>
      <w:r w:rsidR="005A3F0D">
        <w:rPr>
          <w:rStyle w:val="Heading3Char"/>
          <w:b/>
          <w:bCs/>
          <w:iCs/>
        </w:rPr>
        <w:t>E</w:t>
      </w:r>
      <w:r w:rsidR="00902881">
        <w:rPr>
          <w:rStyle w:val="Heading3Char"/>
          <w:b/>
          <w:bCs/>
          <w:iCs/>
        </w:rPr>
        <w:t xml:space="preserve">nvelope </w:t>
      </w:r>
      <w:r w:rsidR="005A3F0D">
        <w:rPr>
          <w:rStyle w:val="Heading3Char"/>
          <w:b/>
          <w:bCs/>
          <w:iCs/>
        </w:rPr>
        <w:t>P</w:t>
      </w:r>
      <w:r w:rsidR="00902881">
        <w:rPr>
          <w:rStyle w:val="Heading3Char"/>
          <w:b/>
          <w:bCs/>
          <w:iCs/>
        </w:rPr>
        <w:t>rograms)</w:t>
      </w:r>
      <w:bookmarkEnd w:id="48"/>
      <w:bookmarkEnd w:id="49"/>
      <w:bookmarkEnd w:id="50"/>
      <w:bookmarkEnd w:id="51"/>
      <w:bookmarkEnd w:id="52"/>
    </w:p>
    <w:p w:rsidR="0067732C" w:rsidRPr="0067732C" w:rsidRDefault="0067732C" w:rsidP="003D2221">
      <w:pPr>
        <w:pStyle w:val="BodyText"/>
        <w:spacing w:before="120" w:after="120" w:line="240" w:lineRule="auto"/>
      </w:pPr>
      <w:r>
        <w:rPr>
          <w:noProof/>
        </w:rPr>
        <w:drawing>
          <wp:inline distT="0" distB="0" distL="0" distR="0">
            <wp:extent cx="1719771" cy="640080"/>
            <wp:effectExtent l="0" t="0" r="0" b="7620"/>
            <wp:docPr id="1039" name="Pictur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9771" cy="640080"/>
                    </a:xfrm>
                    <a:prstGeom prst="rect">
                      <a:avLst/>
                    </a:prstGeom>
                    <a:noFill/>
                  </pic:spPr>
                </pic:pic>
              </a:graphicData>
            </a:graphic>
          </wp:inline>
        </w:drawing>
      </w:r>
    </w:p>
    <w:p w:rsidR="0058224E" w:rsidRDefault="00723AD5" w:rsidP="004477DC">
      <w:pPr>
        <w:pStyle w:val="BodyText"/>
      </w:pPr>
      <w:r>
        <w:t>Space conditioning</w:t>
      </w:r>
      <w:r w:rsidR="0058224E">
        <w:t xml:space="preserve"> and water heating</w:t>
      </w:r>
      <w:r>
        <w:t xml:space="preserve"> often account for a substantial portion of energy consumption for residential consumers. Space conditioning consumption is affected by the type, efficiency, condition, and size of equipment; the thermal integrity of the building; </w:t>
      </w:r>
      <w:r w:rsidR="00BC020D">
        <w:t>and</w:t>
      </w:r>
      <w:r w:rsidR="00A02628">
        <w:t xml:space="preserve"> the setting of temperature</w:t>
      </w:r>
      <w:r w:rsidR="00086575">
        <w:t xml:space="preserve"> (</w:t>
      </w:r>
      <w:r w:rsidR="00A02628">
        <w:t xml:space="preserve">manually or through </w:t>
      </w:r>
      <w:r w:rsidR="00BC020D">
        <w:t>use of system controls</w:t>
      </w:r>
      <w:r w:rsidR="00A02628">
        <w:t>)</w:t>
      </w:r>
      <w:r w:rsidR="00BC020D">
        <w:t xml:space="preserve"> to balance comfort, health, and efficiency</w:t>
      </w:r>
      <w:r w:rsidR="00A02628">
        <w:t>. EWR related to space conditioning can be achieved through low-cost measures and occupant behavior changes, but the largest savings opportunities involve installation of equipment (e.g., furnaces, heat pumps, water heaters, air conditioners) or building envelope improvements (e.g., installation of insulation or windows).</w:t>
      </w:r>
      <w:r w:rsidR="0058224E">
        <w:t xml:space="preserve"> Similarly, water heating savings can be capture</w:t>
      </w:r>
      <w:r w:rsidR="005D1549">
        <w:t xml:space="preserve">d through equipment upgrades, installation of hot water savings devices, and changes in behavior. </w:t>
      </w:r>
    </w:p>
    <w:p w:rsidR="007E0F63" w:rsidRDefault="005D1549" w:rsidP="004477DC">
      <w:pPr>
        <w:pStyle w:val="BodyText"/>
      </w:pPr>
      <w:r>
        <w:t xml:space="preserve">Equipment and envelope </w:t>
      </w:r>
      <w:r w:rsidR="00A02628">
        <w:t xml:space="preserve">upgrades are often done by a contractor that has the training, tools, and experience to perform this work </w:t>
      </w:r>
      <w:r w:rsidR="000E6043">
        <w:t xml:space="preserve">with adherence to stringent quality and reliability standards. </w:t>
      </w:r>
      <w:r w:rsidR="007E0F63">
        <w:t>Residential customers often have long-standing relationships with these contractors and may reach out to them first when considering equipment or structural upgrades.</w:t>
      </w:r>
      <w:r w:rsidR="00604780">
        <w:t xml:space="preserve"> During these early interactions, trade allies can influence the likelihood that a customer will select high-efficiency equipment and participate in a program. </w:t>
      </w:r>
    </w:p>
    <w:p w:rsidR="007E0F63" w:rsidRDefault="005D1549" w:rsidP="004477DC">
      <w:pPr>
        <w:pStyle w:val="BodyText"/>
      </w:pPr>
      <w:r>
        <w:t xml:space="preserve">To leverage the relationships of contractors and utility customers, leading EWR programs include a strong trade ally network. </w:t>
      </w:r>
      <w:r w:rsidR="00604780">
        <w:t>In exchange for program</w:t>
      </w:r>
      <w:r w:rsidR="00086575">
        <w:t xml:space="preserve"> support and promotion</w:t>
      </w:r>
      <w:r w:rsidR="00812656">
        <w:t>, participating trade allies receive</w:t>
      </w:r>
      <w:r w:rsidR="00B662AE">
        <w:t xml:space="preserve"> </w:t>
      </w:r>
      <w:r w:rsidR="0089727F">
        <w:t>benefits,</w:t>
      </w:r>
      <w:r w:rsidR="00B662AE">
        <w:t xml:space="preserve"> including</w:t>
      </w:r>
      <w:r w:rsidR="00812656">
        <w:t xml:space="preserve">: </w:t>
      </w:r>
    </w:p>
    <w:p w:rsidR="00812656" w:rsidRDefault="00A04BFF" w:rsidP="00812656">
      <w:pPr>
        <w:pStyle w:val="ListBullet"/>
      </w:pPr>
      <w:r w:rsidRPr="00A04BFF">
        <w:t>Financial incentives</w:t>
      </w:r>
    </w:p>
    <w:p w:rsidR="00A04BFF" w:rsidRDefault="00812656" w:rsidP="001D23DE">
      <w:pPr>
        <w:pStyle w:val="ListBullet"/>
      </w:pPr>
      <w:r>
        <w:t>T</w:t>
      </w:r>
      <w:r w:rsidR="00A04BFF" w:rsidRPr="00A04BFF">
        <w:t>echnical support</w:t>
      </w:r>
      <w:r>
        <w:t xml:space="preserve"> and </w:t>
      </w:r>
      <w:r w:rsidR="00A04BFF" w:rsidRPr="00A04BFF">
        <w:t>training that focus on industry best practices</w:t>
      </w:r>
    </w:p>
    <w:p w:rsidR="00A04BFF" w:rsidRPr="00A04BFF" w:rsidRDefault="00B662AE" w:rsidP="00812656">
      <w:pPr>
        <w:pStyle w:val="ListBullet"/>
      </w:pPr>
      <w:r>
        <w:t>Promotion on utilities’ website</w:t>
      </w:r>
      <w:r w:rsidR="00E92EB6">
        <w:t>s</w:t>
      </w:r>
      <w:r w:rsidR="005101C6">
        <w:t xml:space="preserve"> and referrals </w:t>
      </w:r>
    </w:p>
    <w:p w:rsidR="00A04BFF" w:rsidRPr="00A04BFF" w:rsidRDefault="00A04BFF" w:rsidP="00812656">
      <w:pPr>
        <w:pStyle w:val="ListBullet"/>
      </w:pPr>
      <w:r w:rsidRPr="00A04BFF">
        <w:t>Access to program marketing support materials</w:t>
      </w:r>
    </w:p>
    <w:p w:rsidR="00A04BFF" w:rsidRDefault="00B662AE" w:rsidP="00812656">
      <w:pPr>
        <w:pStyle w:val="ListBullet"/>
      </w:pPr>
      <w:r>
        <w:t xml:space="preserve">Early notification and input into </w:t>
      </w:r>
      <w:r w:rsidR="00A04BFF" w:rsidRPr="00A04BFF">
        <w:t>program activities and changes</w:t>
      </w:r>
    </w:p>
    <w:p w:rsidR="00885DA3" w:rsidRDefault="005101C6" w:rsidP="00A5097C">
      <w:pPr>
        <w:pStyle w:val="BodyText"/>
      </w:pPr>
      <w:r>
        <w:t xml:space="preserve">Utilities can track </w:t>
      </w:r>
      <w:r w:rsidR="00086575">
        <w:t>trade allies’</w:t>
      </w:r>
      <w:r>
        <w:t xml:space="preserve"> quality of work and customer satisfaction and use that information to prioritize leads and referrals. </w:t>
      </w:r>
      <w:r w:rsidR="00A5097C">
        <w:t>As utilities and program implementers build trade ally network capacity</w:t>
      </w:r>
      <w:r>
        <w:t xml:space="preserve">, </w:t>
      </w:r>
      <w:r w:rsidR="00BF090A">
        <w:t xml:space="preserve">opportunities to negotiate prices and to introduce new technologies </w:t>
      </w:r>
      <w:r w:rsidR="00086575">
        <w:t>are created</w:t>
      </w:r>
      <w:r w:rsidR="00BF090A">
        <w:t xml:space="preserve">. </w:t>
      </w:r>
    </w:p>
    <w:p w:rsidR="002D1501" w:rsidRDefault="000F7DB8" w:rsidP="00A5097C">
      <w:pPr>
        <w:pStyle w:val="BodyText"/>
      </w:pPr>
      <w:r>
        <w:t xml:space="preserve">Often, when new measures come to market, prices are higher than they would be once market saturation is reached. </w:t>
      </w:r>
      <w:r w:rsidR="00885DA3">
        <w:t>Some utilities have successfully worked with equipment manufacturers and contractors to offer new technologies (e.g., tankless and heat</w:t>
      </w:r>
      <w:r w:rsidR="00E92EB6">
        <w:t>-</w:t>
      </w:r>
      <w:r w:rsidR="00885DA3">
        <w:t>pump water heaters, ductless heat pumps</w:t>
      </w:r>
      <w:r w:rsidR="00744A7D">
        <w:t>, cold</w:t>
      </w:r>
      <w:r w:rsidR="00E92EB6">
        <w:t>-</w:t>
      </w:r>
      <w:r w:rsidR="00744A7D">
        <w:t>climate air</w:t>
      </w:r>
      <w:r w:rsidR="00E92EB6">
        <w:t>-</w:t>
      </w:r>
      <w:r w:rsidR="00744A7D">
        <w:t>source heat pumps</w:t>
      </w:r>
      <w:r w:rsidR="00885DA3">
        <w:t xml:space="preserve">) at prices that reflect discounts from manufacturers and contractors </w:t>
      </w:r>
      <w:r w:rsidR="00086575">
        <w:t xml:space="preserve">as well as </w:t>
      </w:r>
      <w:r w:rsidR="00885DA3">
        <w:t>utility rebates to stimulate demand and demonstrate the performance capabilities of these new technologies.</w:t>
      </w:r>
      <w:r w:rsidR="006332D2">
        <w:t xml:space="preserve"> </w:t>
      </w:r>
      <w:r w:rsidR="008A0748">
        <w:t xml:space="preserve">Training and technical support help contractors gain familiarity with new technologies and </w:t>
      </w:r>
      <w:r w:rsidR="00744A7D">
        <w:t xml:space="preserve">aspects of quality installation that ensure savings realization. </w:t>
      </w:r>
    </w:p>
    <w:p w:rsidR="0098335C" w:rsidRDefault="0098335C" w:rsidP="00A5097C">
      <w:pPr>
        <w:pStyle w:val="BodyText"/>
      </w:pPr>
      <w:r>
        <w:t xml:space="preserve">The process of making equipment or </w:t>
      </w:r>
      <w:r w:rsidR="00086575">
        <w:t xml:space="preserve">home </w:t>
      </w:r>
      <w:r>
        <w:t xml:space="preserve">envelope improvements often begins with comprehensive home audit or residential energy assessment. </w:t>
      </w:r>
      <w:r w:rsidR="005D1549">
        <w:t>In the U.P</w:t>
      </w:r>
      <w:r>
        <w:t>.</w:t>
      </w:r>
      <w:r w:rsidR="00E92EB6">
        <w:t>,</w:t>
      </w:r>
      <w:r>
        <w:t xml:space="preserve"> </w:t>
      </w:r>
      <w:r w:rsidR="00086575">
        <w:t xml:space="preserve">there is a </w:t>
      </w:r>
      <w:r>
        <w:t xml:space="preserve">home energy audit contractor on the </w:t>
      </w:r>
      <w:r w:rsidR="000C2127">
        <w:t>Efficiency UNITED</w:t>
      </w:r>
      <w:r>
        <w:t xml:space="preserve"> website</w:t>
      </w:r>
      <w:r w:rsidR="00086575">
        <w:t xml:space="preserve"> and</w:t>
      </w:r>
      <w:r>
        <w:t xml:space="preserve"> one on the MECA Collaborative website</w:t>
      </w:r>
      <w:r w:rsidR="006C6C15">
        <w:t xml:space="preserve">. </w:t>
      </w:r>
      <w:r w:rsidR="005D1549">
        <w:t xml:space="preserve">There are heating and cooling </w:t>
      </w:r>
      <w:r w:rsidR="005D1549">
        <w:lastRenderedPageBreak/>
        <w:t>contractors, electricians, and plumbers listed on the</w:t>
      </w:r>
      <w:r w:rsidR="00086575">
        <w:t>se</w:t>
      </w:r>
      <w:r w:rsidR="005D1549">
        <w:t xml:space="preserve"> sites</w:t>
      </w:r>
      <w:r w:rsidR="00086575">
        <w:t xml:space="preserve"> as well</w:t>
      </w:r>
      <w:r w:rsidR="005D1549">
        <w:t xml:space="preserve">, but no specific information about contractor performance or the types of </w:t>
      </w:r>
      <w:r w:rsidR="000F7DB8">
        <w:t xml:space="preserve">qualifying </w:t>
      </w:r>
      <w:r w:rsidR="005D1549">
        <w:t>measure that they install.</w:t>
      </w:r>
      <w:r w:rsidR="000F7DB8">
        <w:t xml:space="preserve"> Even with available contractors located in the U.P., there are still some </w:t>
      </w:r>
      <w:r w:rsidR="006C6C15">
        <w:t xml:space="preserve">contractors </w:t>
      </w:r>
      <w:r w:rsidR="000F7DB8">
        <w:t>that</w:t>
      </w:r>
      <w:r w:rsidR="00EA39C6">
        <w:t xml:space="preserve"> travel</w:t>
      </w:r>
      <w:r w:rsidR="000F7DB8">
        <w:t xml:space="preserve"> from the Lower Peninsula to conduct work, increasing the cost of efficiency upgrades. Increasing the local availability of trade allies can further reduce cost of </w:t>
      </w:r>
      <w:r w:rsidR="00EA39C6">
        <w:t>efficiency investments</w:t>
      </w:r>
      <w:r w:rsidR="000F7DB8">
        <w:t xml:space="preserve"> as travel time is often charged to customers.</w:t>
      </w:r>
    </w:p>
    <w:p w:rsidR="00D90AA1" w:rsidRDefault="008A0748" w:rsidP="00D90AA1">
      <w:pPr>
        <w:pStyle w:val="BodyText"/>
      </w:pPr>
      <w:r>
        <w:t xml:space="preserve">Developing a consistent set of program offerings with a network of qualified and engaged trade allies will provide cost savings opportunities, increase ease of participation, expand geographic coverage, and allow for introduction </w:t>
      </w:r>
      <w:r w:rsidR="00744A7D">
        <w:t xml:space="preserve">of an expanded range of technologies. </w:t>
      </w:r>
      <w:r w:rsidR="00370D51">
        <w:fldChar w:fldCharType="begin"/>
      </w:r>
      <w:r w:rsidR="00E31E8A">
        <w:instrText xml:space="preserve"> REF _Ref514228036 \h </w:instrText>
      </w:r>
      <w:r w:rsidR="00370D51">
        <w:fldChar w:fldCharType="separate"/>
      </w:r>
      <w:r w:rsidR="00086575">
        <w:t xml:space="preserve">Exhibit </w:t>
      </w:r>
      <w:r w:rsidR="001E121C">
        <w:rPr>
          <w:noProof/>
        </w:rPr>
        <w:t>B-5</w:t>
      </w:r>
      <w:r w:rsidR="00370D51">
        <w:fldChar w:fldCharType="end"/>
      </w:r>
      <w:r w:rsidR="00D90AA1">
        <w:t xml:space="preserve"> identifies impacts and costs for a </w:t>
      </w:r>
      <w:r w:rsidR="003B2694">
        <w:t>Business as Usual</w:t>
      </w:r>
      <w:r w:rsidR="00D90AA1">
        <w:t xml:space="preserve"> scenario and for an enhanced delivery program. Program enhancement activities would be focused on</w:t>
      </w:r>
      <w:r w:rsidR="005D34DF">
        <w:t xml:space="preserve"> strengthening the trade ally network, introducing new technologies, and expanding service throughout the </w:t>
      </w:r>
      <w:r w:rsidR="00086575">
        <w:t>peninsula</w:t>
      </w:r>
      <w:r w:rsidR="005D34DF">
        <w:t xml:space="preserve">. Infrastructure investments would be offset by program efficiencies and </w:t>
      </w:r>
      <w:r w:rsidR="006C6C15">
        <w:t xml:space="preserve">opportunities to </w:t>
      </w:r>
      <w:r w:rsidR="005D34DF">
        <w:t>reduce measure cost</w:t>
      </w:r>
      <w:r w:rsidR="006C6C15">
        <w:t xml:space="preserve"> through increased market saturation and opportunities to negotiate prices</w:t>
      </w:r>
      <w:r w:rsidR="005D34DF">
        <w:t xml:space="preserve">. </w:t>
      </w:r>
    </w:p>
    <w:p w:rsidR="005D34DF" w:rsidRDefault="005D34DF" w:rsidP="005D34DF">
      <w:pPr>
        <w:pStyle w:val="ExhibitTitle"/>
      </w:pPr>
      <w:bookmarkStart w:id="53" w:name="_Ref514228036"/>
      <w:r>
        <w:t xml:space="preserve">Exhibit </w:t>
      </w:r>
      <w:bookmarkEnd w:id="53"/>
      <w:r w:rsidR="001E121C">
        <w:rPr>
          <w:noProof/>
        </w:rPr>
        <w:t>B-5</w:t>
      </w:r>
      <w:r>
        <w:t xml:space="preserve">: </w:t>
      </w:r>
      <w:r w:rsidR="00E31E8A">
        <w:t>Residential Equipment and Envelope Upgrades</w:t>
      </w:r>
      <w:r>
        <w:t xml:space="preserve"> </w:t>
      </w:r>
    </w:p>
    <w:tbl>
      <w:tblPr>
        <w:tblW w:w="7805" w:type="dxa"/>
        <w:tblBorders>
          <w:bottom w:val="single" w:sz="4" w:space="0" w:color="auto"/>
          <w:insideH w:val="single" w:sz="4" w:space="0" w:color="auto"/>
        </w:tblBorders>
        <w:tblLook w:val="04A0"/>
      </w:tblPr>
      <w:tblGrid>
        <w:gridCol w:w="2785"/>
        <w:gridCol w:w="2520"/>
        <w:gridCol w:w="2500"/>
      </w:tblGrid>
      <w:tr w:rsidR="005D34DF" w:rsidRPr="005D34DF" w:rsidTr="00E31E8A">
        <w:trPr>
          <w:trHeight w:val="300"/>
        </w:trPr>
        <w:tc>
          <w:tcPr>
            <w:tcW w:w="2785" w:type="dxa"/>
            <w:shd w:val="clear" w:color="auto" w:fill="auto"/>
            <w:noWrap/>
            <w:vAlign w:val="bottom"/>
            <w:hideMark/>
          </w:tcPr>
          <w:p w:rsidR="005D34DF" w:rsidRPr="005D34DF" w:rsidRDefault="005D34DF" w:rsidP="005D34DF">
            <w:pPr>
              <w:rPr>
                <w:rFonts w:ascii="Times New Roman" w:eastAsia="Times New Roman" w:hAnsi="Times New Roman" w:cs="Times New Roman"/>
              </w:rPr>
            </w:pPr>
          </w:p>
        </w:tc>
        <w:tc>
          <w:tcPr>
            <w:tcW w:w="2520" w:type="dxa"/>
            <w:shd w:val="clear" w:color="auto" w:fill="auto"/>
            <w:noWrap/>
            <w:vAlign w:val="bottom"/>
            <w:hideMark/>
          </w:tcPr>
          <w:p w:rsidR="005D34DF" w:rsidRPr="00E31E8A" w:rsidRDefault="005D34DF" w:rsidP="00DF6930">
            <w:pPr>
              <w:pStyle w:val="TableHeader"/>
              <w:jc w:val="center"/>
            </w:pPr>
            <w:r w:rsidRPr="00E31E8A">
              <w:t>Business as Usual</w:t>
            </w:r>
          </w:p>
        </w:tc>
        <w:tc>
          <w:tcPr>
            <w:tcW w:w="2500" w:type="dxa"/>
            <w:shd w:val="clear" w:color="auto" w:fill="auto"/>
            <w:noWrap/>
            <w:vAlign w:val="bottom"/>
            <w:hideMark/>
          </w:tcPr>
          <w:p w:rsidR="005D34DF" w:rsidRPr="00E31E8A" w:rsidRDefault="005D34DF" w:rsidP="00DF6930">
            <w:pPr>
              <w:pStyle w:val="TableHeader"/>
              <w:jc w:val="center"/>
            </w:pPr>
            <w:r w:rsidRPr="00E31E8A">
              <w:t>Strategic Portfolio</w:t>
            </w:r>
          </w:p>
        </w:tc>
      </w:tr>
      <w:tr w:rsidR="005D34DF" w:rsidRPr="005D34DF" w:rsidTr="00E31E8A">
        <w:trPr>
          <w:trHeight w:val="300"/>
        </w:trPr>
        <w:tc>
          <w:tcPr>
            <w:tcW w:w="2785" w:type="dxa"/>
            <w:shd w:val="clear" w:color="auto" w:fill="auto"/>
            <w:noWrap/>
            <w:vAlign w:val="bottom"/>
            <w:hideMark/>
          </w:tcPr>
          <w:p w:rsidR="005D34DF" w:rsidRPr="005D34DF" w:rsidRDefault="005D34DF" w:rsidP="00DF6930">
            <w:pPr>
              <w:pStyle w:val="TableData"/>
            </w:pPr>
            <w:r w:rsidRPr="005D34DF">
              <w:t xml:space="preserve">Annual </w:t>
            </w:r>
            <w:r w:rsidR="00BD1840">
              <w:t>s</w:t>
            </w:r>
            <w:r w:rsidRPr="005D34DF">
              <w:t>avings (MWh)</w:t>
            </w:r>
          </w:p>
        </w:tc>
        <w:tc>
          <w:tcPr>
            <w:tcW w:w="2520" w:type="dxa"/>
            <w:shd w:val="clear" w:color="auto" w:fill="auto"/>
            <w:noWrap/>
            <w:vAlign w:val="bottom"/>
            <w:hideMark/>
          </w:tcPr>
          <w:p w:rsidR="005D34DF" w:rsidRPr="005D34DF" w:rsidRDefault="005D34DF" w:rsidP="00DF6930">
            <w:pPr>
              <w:pStyle w:val="TableData"/>
              <w:jc w:val="center"/>
            </w:pPr>
            <w:r w:rsidRPr="005D34DF">
              <w:t>1,677</w:t>
            </w:r>
          </w:p>
        </w:tc>
        <w:tc>
          <w:tcPr>
            <w:tcW w:w="2500" w:type="dxa"/>
            <w:shd w:val="clear" w:color="auto" w:fill="auto"/>
            <w:noWrap/>
            <w:vAlign w:val="bottom"/>
            <w:hideMark/>
          </w:tcPr>
          <w:p w:rsidR="005D34DF" w:rsidRPr="005D34DF" w:rsidRDefault="005D34DF" w:rsidP="00DF6930">
            <w:pPr>
              <w:pStyle w:val="TableData"/>
              <w:jc w:val="center"/>
            </w:pPr>
            <w:r w:rsidRPr="005D34DF">
              <w:t>1,845</w:t>
            </w:r>
          </w:p>
        </w:tc>
      </w:tr>
      <w:tr w:rsidR="005D34DF" w:rsidRPr="005D34DF" w:rsidTr="00E31E8A">
        <w:trPr>
          <w:trHeight w:val="300"/>
        </w:trPr>
        <w:tc>
          <w:tcPr>
            <w:tcW w:w="2785" w:type="dxa"/>
            <w:shd w:val="clear" w:color="auto" w:fill="auto"/>
            <w:noWrap/>
            <w:vAlign w:val="bottom"/>
            <w:hideMark/>
          </w:tcPr>
          <w:p w:rsidR="005D34DF" w:rsidRPr="005D34DF" w:rsidRDefault="005D34DF" w:rsidP="00DF6930">
            <w:pPr>
              <w:pStyle w:val="TableData"/>
            </w:pPr>
            <w:r w:rsidRPr="005D34DF">
              <w:t xml:space="preserve">Annual </w:t>
            </w:r>
            <w:r w:rsidR="00BD1840">
              <w:t>e</w:t>
            </w:r>
            <w:r w:rsidRPr="005D34DF">
              <w:t>xpenditure (</w:t>
            </w:r>
            <w:r w:rsidR="009D0B90">
              <w:t xml:space="preserve">in </w:t>
            </w:r>
            <w:r w:rsidR="006C387F">
              <w:t>thousands</w:t>
            </w:r>
            <w:r w:rsidRPr="005D34DF">
              <w:t>)</w:t>
            </w:r>
          </w:p>
        </w:tc>
        <w:tc>
          <w:tcPr>
            <w:tcW w:w="2520" w:type="dxa"/>
            <w:shd w:val="clear" w:color="auto" w:fill="auto"/>
            <w:noWrap/>
            <w:vAlign w:val="bottom"/>
            <w:hideMark/>
          </w:tcPr>
          <w:p w:rsidR="005D34DF" w:rsidRPr="005D34DF" w:rsidRDefault="005D34DF" w:rsidP="00DF6930">
            <w:pPr>
              <w:pStyle w:val="TableData"/>
              <w:jc w:val="center"/>
            </w:pPr>
            <w:r w:rsidRPr="005D34DF">
              <w:t>$714</w:t>
            </w:r>
          </w:p>
        </w:tc>
        <w:tc>
          <w:tcPr>
            <w:tcW w:w="2500" w:type="dxa"/>
            <w:shd w:val="clear" w:color="auto" w:fill="auto"/>
            <w:noWrap/>
            <w:vAlign w:val="bottom"/>
            <w:hideMark/>
          </w:tcPr>
          <w:p w:rsidR="005D34DF" w:rsidRPr="005D34DF" w:rsidRDefault="005D34DF" w:rsidP="00DF6930">
            <w:pPr>
              <w:pStyle w:val="TableData"/>
              <w:jc w:val="center"/>
            </w:pPr>
            <w:r w:rsidRPr="005D34DF">
              <w:t>$857</w:t>
            </w:r>
          </w:p>
        </w:tc>
      </w:tr>
      <w:tr w:rsidR="005D34DF" w:rsidRPr="005D34DF" w:rsidTr="00E31E8A">
        <w:trPr>
          <w:trHeight w:val="300"/>
        </w:trPr>
        <w:tc>
          <w:tcPr>
            <w:tcW w:w="2785" w:type="dxa"/>
            <w:shd w:val="clear" w:color="auto" w:fill="auto"/>
            <w:noWrap/>
            <w:vAlign w:val="bottom"/>
            <w:hideMark/>
          </w:tcPr>
          <w:p w:rsidR="005D34DF" w:rsidRPr="005D34DF" w:rsidRDefault="005D34DF" w:rsidP="00DF6930">
            <w:pPr>
              <w:pStyle w:val="TableData"/>
            </w:pPr>
            <w:r w:rsidRPr="005D34DF">
              <w:t xml:space="preserve">Cost of </w:t>
            </w:r>
            <w:r w:rsidR="00BD1840">
              <w:t>c</w:t>
            </w:r>
            <w:r w:rsidRPr="005D34DF">
              <w:t xml:space="preserve">onserved </w:t>
            </w:r>
            <w:r w:rsidR="00BD1840">
              <w:t>e</w:t>
            </w:r>
            <w:r w:rsidRPr="005D34DF">
              <w:t>nergy</w:t>
            </w:r>
          </w:p>
        </w:tc>
        <w:tc>
          <w:tcPr>
            <w:tcW w:w="2520" w:type="dxa"/>
            <w:shd w:val="clear" w:color="auto" w:fill="auto"/>
            <w:noWrap/>
            <w:vAlign w:val="bottom"/>
            <w:hideMark/>
          </w:tcPr>
          <w:p w:rsidR="005D34DF" w:rsidRPr="005D34DF" w:rsidRDefault="005D34DF" w:rsidP="00DF6930">
            <w:pPr>
              <w:pStyle w:val="TableData"/>
              <w:jc w:val="center"/>
            </w:pPr>
            <w:r w:rsidRPr="005D34DF">
              <w:t>$0.0447</w:t>
            </w:r>
          </w:p>
        </w:tc>
        <w:tc>
          <w:tcPr>
            <w:tcW w:w="2500" w:type="dxa"/>
            <w:shd w:val="clear" w:color="auto" w:fill="auto"/>
            <w:noWrap/>
            <w:vAlign w:val="bottom"/>
            <w:hideMark/>
          </w:tcPr>
          <w:p w:rsidR="005D34DF" w:rsidRPr="005D34DF" w:rsidRDefault="005D34DF" w:rsidP="00DF6930">
            <w:pPr>
              <w:pStyle w:val="TableData"/>
              <w:jc w:val="center"/>
            </w:pPr>
            <w:r w:rsidRPr="005D34DF">
              <w:t>$0.0488</w:t>
            </w:r>
          </w:p>
        </w:tc>
      </w:tr>
    </w:tbl>
    <w:p w:rsidR="00E31E8A" w:rsidRDefault="00E31E8A" w:rsidP="00E31E8A">
      <w:pPr>
        <w:pStyle w:val="ExhibitSource"/>
      </w:pPr>
      <w:r>
        <w:t>Source: Public Sector Consultants analysis.</w:t>
      </w:r>
    </w:p>
    <w:p w:rsidR="007101F3" w:rsidRPr="002B56CE" w:rsidRDefault="007101F3" w:rsidP="002B56CE">
      <w:pPr>
        <w:pStyle w:val="Heading3"/>
        <w:rPr>
          <w:rStyle w:val="Heading3Char"/>
          <w:b/>
          <w:bCs/>
          <w:iCs/>
        </w:rPr>
      </w:pPr>
      <w:bookmarkStart w:id="54" w:name="_Toc514432734"/>
      <w:bookmarkStart w:id="55" w:name="_Toc515529413"/>
      <w:bookmarkStart w:id="56" w:name="_Toc527121863"/>
      <w:bookmarkStart w:id="57" w:name="_Toc533742412"/>
      <w:bookmarkStart w:id="58" w:name="_Toc533742677"/>
      <w:r w:rsidRPr="002B56CE">
        <w:rPr>
          <w:rStyle w:val="Heading3Char"/>
          <w:b/>
          <w:bCs/>
          <w:iCs/>
        </w:rPr>
        <w:t xml:space="preserve">Direct-delivery </w:t>
      </w:r>
      <w:r w:rsidR="005A3F0D">
        <w:rPr>
          <w:rStyle w:val="Heading3Char"/>
          <w:b/>
          <w:bCs/>
          <w:iCs/>
        </w:rPr>
        <w:t>P</w:t>
      </w:r>
      <w:r w:rsidRPr="002B56CE">
        <w:rPr>
          <w:rStyle w:val="Heading3Char"/>
          <w:b/>
          <w:bCs/>
          <w:iCs/>
        </w:rPr>
        <w:t>rograms</w:t>
      </w:r>
      <w:bookmarkEnd w:id="54"/>
      <w:bookmarkEnd w:id="55"/>
      <w:bookmarkEnd w:id="56"/>
      <w:bookmarkEnd w:id="57"/>
      <w:bookmarkEnd w:id="58"/>
    </w:p>
    <w:p w:rsidR="002B56CE" w:rsidRDefault="00762FCE" w:rsidP="003D2221">
      <w:pPr>
        <w:pStyle w:val="BodyText"/>
        <w:spacing w:before="120" w:after="120" w:line="240" w:lineRule="auto"/>
        <w:rPr>
          <w:rStyle w:val="Heading3Char"/>
          <w:rFonts w:eastAsiaTheme="minorHAnsi" w:cstheme="minorBidi"/>
          <w:b w:val="0"/>
          <w:bCs w:val="0"/>
          <w:iCs w:val="0"/>
          <w:sz w:val="20"/>
          <w:szCs w:val="18"/>
        </w:rPr>
      </w:pPr>
      <w:bookmarkStart w:id="59" w:name="_Toc514432735"/>
      <w:bookmarkStart w:id="60" w:name="_Toc515529414"/>
      <w:bookmarkStart w:id="61" w:name="_Toc526809705"/>
      <w:bookmarkStart w:id="62" w:name="_Toc527121332"/>
      <w:bookmarkStart w:id="63" w:name="_Toc527121864"/>
      <w:bookmarkStart w:id="64" w:name="_Toc533742413"/>
      <w:bookmarkStart w:id="65" w:name="_Toc533742678"/>
      <w:r>
        <w:rPr>
          <w:rStyle w:val="Heading3Char"/>
          <w:noProof/>
        </w:rPr>
        <w:drawing>
          <wp:inline distT="0" distB="0" distL="0" distR="0">
            <wp:extent cx="1079691" cy="640080"/>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9691" cy="640080"/>
                    </a:xfrm>
                    <a:prstGeom prst="rect">
                      <a:avLst/>
                    </a:prstGeom>
                    <a:noFill/>
                  </pic:spPr>
                </pic:pic>
              </a:graphicData>
            </a:graphic>
          </wp:inline>
        </w:drawing>
      </w:r>
      <w:bookmarkEnd w:id="59"/>
      <w:bookmarkEnd w:id="60"/>
      <w:bookmarkEnd w:id="61"/>
      <w:bookmarkEnd w:id="62"/>
      <w:bookmarkEnd w:id="63"/>
      <w:bookmarkEnd w:id="64"/>
      <w:bookmarkEnd w:id="65"/>
    </w:p>
    <w:p w:rsidR="00AA28A1" w:rsidRDefault="006D1EBF" w:rsidP="002B56CE">
      <w:pPr>
        <w:pStyle w:val="BodyText"/>
        <w:spacing w:before="120" w:after="120"/>
        <w:rPr>
          <w:rStyle w:val="Heading3Char"/>
          <w:rFonts w:eastAsiaTheme="minorHAnsi" w:cstheme="minorBidi"/>
          <w:b w:val="0"/>
          <w:bCs w:val="0"/>
          <w:iCs w:val="0"/>
          <w:sz w:val="20"/>
          <w:szCs w:val="18"/>
        </w:rPr>
      </w:pPr>
      <w:bookmarkStart w:id="66" w:name="_Toc514427414"/>
      <w:bookmarkStart w:id="67" w:name="_Toc514432736"/>
      <w:bookmarkStart w:id="68" w:name="_Toc515529415"/>
      <w:bookmarkStart w:id="69" w:name="_Toc526809706"/>
      <w:bookmarkStart w:id="70" w:name="_Toc527121333"/>
      <w:bookmarkStart w:id="71" w:name="_Toc527121865"/>
      <w:bookmarkStart w:id="72" w:name="_Toc533742414"/>
      <w:bookmarkStart w:id="73" w:name="_Toc533742679"/>
      <w:r>
        <w:rPr>
          <w:rStyle w:val="Heading3Char"/>
          <w:rFonts w:eastAsiaTheme="minorHAnsi" w:cstheme="minorBidi"/>
          <w:b w:val="0"/>
          <w:bCs w:val="0"/>
          <w:iCs w:val="0"/>
          <w:sz w:val="20"/>
          <w:szCs w:val="18"/>
        </w:rPr>
        <w:t>Direct</w:t>
      </w:r>
      <w:r w:rsidR="009D0B90">
        <w:rPr>
          <w:rStyle w:val="Heading3Char"/>
          <w:rFonts w:eastAsiaTheme="minorHAnsi" w:cstheme="minorBidi"/>
          <w:b w:val="0"/>
          <w:bCs w:val="0"/>
          <w:iCs w:val="0"/>
          <w:sz w:val="20"/>
          <w:szCs w:val="18"/>
        </w:rPr>
        <w:t>-</w:t>
      </w:r>
      <w:r>
        <w:rPr>
          <w:rStyle w:val="Heading3Char"/>
          <w:rFonts w:eastAsiaTheme="minorHAnsi" w:cstheme="minorBidi"/>
          <w:b w:val="0"/>
          <w:bCs w:val="0"/>
          <w:iCs w:val="0"/>
          <w:sz w:val="20"/>
          <w:szCs w:val="18"/>
        </w:rPr>
        <w:t>delivery programs</w:t>
      </w:r>
      <w:r w:rsidR="00902881">
        <w:rPr>
          <w:rStyle w:val="Heading3Char"/>
          <w:rFonts w:eastAsiaTheme="minorHAnsi" w:cstheme="minorBidi"/>
          <w:b w:val="0"/>
          <w:bCs w:val="0"/>
          <w:iCs w:val="0"/>
          <w:sz w:val="20"/>
          <w:szCs w:val="18"/>
        </w:rPr>
        <w:t xml:space="preserve"> include</w:t>
      </w:r>
      <w:r w:rsidR="00A65DC8">
        <w:rPr>
          <w:rStyle w:val="Heading3Char"/>
          <w:rFonts w:eastAsiaTheme="minorHAnsi" w:cstheme="minorBidi"/>
          <w:b w:val="0"/>
          <w:bCs w:val="0"/>
          <w:iCs w:val="0"/>
          <w:sz w:val="20"/>
          <w:szCs w:val="18"/>
        </w:rPr>
        <w:t xml:space="preserve"> installation of measures for</w:t>
      </w:r>
      <w:r w:rsidR="00902881">
        <w:rPr>
          <w:rStyle w:val="Heading3Char"/>
          <w:rFonts w:eastAsiaTheme="minorHAnsi" w:cstheme="minorBidi"/>
          <w:b w:val="0"/>
          <w:bCs w:val="0"/>
          <w:iCs w:val="0"/>
          <w:sz w:val="20"/>
          <w:szCs w:val="18"/>
        </w:rPr>
        <w:t xml:space="preserve"> income</w:t>
      </w:r>
      <w:r w:rsidR="00CF4F94">
        <w:rPr>
          <w:rStyle w:val="Heading3Char"/>
          <w:rFonts w:eastAsiaTheme="minorHAnsi" w:cstheme="minorBidi"/>
          <w:b w:val="0"/>
          <w:bCs w:val="0"/>
          <w:iCs w:val="0"/>
          <w:sz w:val="20"/>
          <w:szCs w:val="18"/>
        </w:rPr>
        <w:t>-</w:t>
      </w:r>
      <w:r w:rsidR="00902881">
        <w:rPr>
          <w:rStyle w:val="Heading3Char"/>
          <w:rFonts w:eastAsiaTheme="minorHAnsi" w:cstheme="minorBidi"/>
          <w:b w:val="0"/>
          <w:bCs w:val="0"/>
          <w:iCs w:val="0"/>
          <w:sz w:val="20"/>
          <w:szCs w:val="18"/>
        </w:rPr>
        <w:t>qualified</w:t>
      </w:r>
      <w:r w:rsidR="00A65DC8">
        <w:rPr>
          <w:rStyle w:val="Heading3Char"/>
          <w:rFonts w:eastAsiaTheme="minorHAnsi" w:cstheme="minorBidi"/>
          <w:b w:val="0"/>
          <w:bCs w:val="0"/>
          <w:iCs w:val="0"/>
          <w:sz w:val="20"/>
          <w:szCs w:val="18"/>
        </w:rPr>
        <w:t xml:space="preserve"> and</w:t>
      </w:r>
      <w:r w:rsidR="00902881">
        <w:rPr>
          <w:rStyle w:val="Heading3Char"/>
          <w:rFonts w:eastAsiaTheme="minorHAnsi" w:cstheme="minorBidi"/>
          <w:b w:val="0"/>
          <w:bCs w:val="0"/>
          <w:iCs w:val="0"/>
          <w:sz w:val="20"/>
          <w:szCs w:val="18"/>
        </w:rPr>
        <w:t xml:space="preserve"> multifamily</w:t>
      </w:r>
      <w:r w:rsidR="00A65DC8">
        <w:rPr>
          <w:rStyle w:val="Heading3Char"/>
          <w:rFonts w:eastAsiaTheme="minorHAnsi" w:cstheme="minorBidi"/>
          <w:b w:val="0"/>
          <w:bCs w:val="0"/>
          <w:iCs w:val="0"/>
          <w:sz w:val="20"/>
          <w:szCs w:val="18"/>
        </w:rPr>
        <w:t xml:space="preserve"> households</w:t>
      </w:r>
      <w:r w:rsidR="00902881">
        <w:rPr>
          <w:rStyle w:val="Heading3Char"/>
          <w:rFonts w:eastAsiaTheme="minorHAnsi" w:cstheme="minorBidi"/>
          <w:b w:val="0"/>
          <w:bCs w:val="0"/>
          <w:iCs w:val="0"/>
          <w:sz w:val="20"/>
          <w:szCs w:val="18"/>
        </w:rPr>
        <w:t xml:space="preserve"> and appliance recycling</w:t>
      </w:r>
      <w:r w:rsidR="001372DA">
        <w:rPr>
          <w:rStyle w:val="Heading3Char"/>
          <w:rFonts w:eastAsiaTheme="minorHAnsi" w:cstheme="minorBidi"/>
          <w:b w:val="0"/>
          <w:bCs w:val="0"/>
          <w:iCs w:val="0"/>
          <w:sz w:val="20"/>
          <w:szCs w:val="18"/>
        </w:rPr>
        <w:t>. They are often targeted to customers that are considered hard</w:t>
      </w:r>
      <w:r w:rsidR="009D0B90">
        <w:rPr>
          <w:rStyle w:val="Heading3Char"/>
          <w:rFonts w:eastAsiaTheme="minorHAnsi" w:cstheme="minorBidi"/>
          <w:b w:val="0"/>
          <w:bCs w:val="0"/>
          <w:iCs w:val="0"/>
          <w:sz w:val="20"/>
          <w:szCs w:val="18"/>
        </w:rPr>
        <w:t xml:space="preserve"> </w:t>
      </w:r>
      <w:r w:rsidR="001372DA">
        <w:rPr>
          <w:rStyle w:val="Heading3Char"/>
          <w:rFonts w:eastAsiaTheme="minorHAnsi" w:cstheme="minorBidi"/>
          <w:b w:val="0"/>
          <w:bCs w:val="0"/>
          <w:iCs w:val="0"/>
          <w:sz w:val="20"/>
          <w:szCs w:val="18"/>
        </w:rPr>
        <w:t>to</w:t>
      </w:r>
      <w:r w:rsidR="009D0B90">
        <w:rPr>
          <w:rStyle w:val="Heading3Char"/>
          <w:rFonts w:eastAsiaTheme="minorHAnsi" w:cstheme="minorBidi"/>
          <w:b w:val="0"/>
          <w:bCs w:val="0"/>
          <w:iCs w:val="0"/>
          <w:sz w:val="20"/>
          <w:szCs w:val="18"/>
        </w:rPr>
        <w:t xml:space="preserve"> </w:t>
      </w:r>
      <w:r w:rsidR="001372DA">
        <w:rPr>
          <w:rStyle w:val="Heading3Char"/>
          <w:rFonts w:eastAsiaTheme="minorHAnsi" w:cstheme="minorBidi"/>
          <w:b w:val="0"/>
          <w:bCs w:val="0"/>
          <w:iCs w:val="0"/>
          <w:sz w:val="20"/>
          <w:szCs w:val="18"/>
        </w:rPr>
        <w:t xml:space="preserve">reach that may not otherwise </w:t>
      </w:r>
      <w:r w:rsidR="009D0B90">
        <w:rPr>
          <w:rStyle w:val="Heading3Char"/>
          <w:rFonts w:eastAsiaTheme="minorHAnsi" w:cstheme="minorBidi"/>
          <w:b w:val="0"/>
          <w:bCs w:val="0"/>
          <w:iCs w:val="0"/>
          <w:sz w:val="20"/>
          <w:szCs w:val="18"/>
        </w:rPr>
        <w:t xml:space="preserve">be </w:t>
      </w:r>
      <w:r w:rsidR="001372DA">
        <w:rPr>
          <w:rStyle w:val="Heading3Char"/>
          <w:rFonts w:eastAsiaTheme="minorHAnsi" w:cstheme="minorBidi"/>
          <w:b w:val="0"/>
          <w:bCs w:val="0"/>
          <w:iCs w:val="0"/>
          <w:sz w:val="20"/>
          <w:szCs w:val="18"/>
        </w:rPr>
        <w:t>able to take advantage of EWR offerings</w:t>
      </w:r>
      <w:r w:rsidR="00902881">
        <w:rPr>
          <w:rStyle w:val="Heading3Char"/>
          <w:rFonts w:eastAsiaTheme="minorHAnsi" w:cstheme="minorBidi"/>
          <w:b w:val="0"/>
          <w:bCs w:val="0"/>
          <w:iCs w:val="0"/>
          <w:sz w:val="20"/>
          <w:szCs w:val="18"/>
        </w:rPr>
        <w:t xml:space="preserve">. </w:t>
      </w:r>
      <w:r w:rsidR="001372DA">
        <w:rPr>
          <w:rStyle w:val="Heading3Char"/>
          <w:rFonts w:eastAsiaTheme="minorHAnsi" w:cstheme="minorBidi"/>
          <w:b w:val="0"/>
          <w:bCs w:val="0"/>
          <w:iCs w:val="0"/>
          <w:sz w:val="20"/>
          <w:szCs w:val="18"/>
        </w:rPr>
        <w:t>Direct</w:t>
      </w:r>
      <w:r w:rsidR="009D0B90">
        <w:rPr>
          <w:rStyle w:val="Heading3Char"/>
          <w:rFonts w:eastAsiaTheme="minorHAnsi" w:cstheme="minorBidi"/>
          <w:b w:val="0"/>
          <w:bCs w:val="0"/>
          <w:iCs w:val="0"/>
          <w:sz w:val="20"/>
          <w:szCs w:val="18"/>
        </w:rPr>
        <w:t>-</w:t>
      </w:r>
      <w:r w:rsidR="001372DA">
        <w:rPr>
          <w:rStyle w:val="Heading3Char"/>
          <w:rFonts w:eastAsiaTheme="minorHAnsi" w:cstheme="minorBidi"/>
          <w:b w:val="0"/>
          <w:bCs w:val="0"/>
          <w:iCs w:val="0"/>
          <w:sz w:val="20"/>
          <w:szCs w:val="18"/>
        </w:rPr>
        <w:t xml:space="preserve">delivery programs sometime utilize program </w:t>
      </w:r>
      <w:r w:rsidR="00B16B28">
        <w:rPr>
          <w:rStyle w:val="Heading3Char"/>
          <w:rFonts w:eastAsiaTheme="minorHAnsi" w:cstheme="minorBidi"/>
          <w:b w:val="0"/>
          <w:bCs w:val="0"/>
          <w:iCs w:val="0"/>
          <w:sz w:val="20"/>
          <w:szCs w:val="18"/>
        </w:rPr>
        <w:t>implementer</w:t>
      </w:r>
      <w:r w:rsidR="001372DA">
        <w:rPr>
          <w:rStyle w:val="Heading3Char"/>
          <w:rFonts w:eastAsiaTheme="minorHAnsi" w:cstheme="minorBidi"/>
          <w:b w:val="0"/>
          <w:bCs w:val="0"/>
          <w:iCs w:val="0"/>
          <w:sz w:val="20"/>
          <w:szCs w:val="18"/>
        </w:rPr>
        <w:t xml:space="preserve"> staff, contractors, or a mix</w:t>
      </w:r>
      <w:r w:rsidR="00902881">
        <w:rPr>
          <w:rStyle w:val="Heading3Char"/>
          <w:rFonts w:eastAsiaTheme="minorHAnsi" w:cstheme="minorBidi"/>
          <w:b w:val="0"/>
          <w:bCs w:val="0"/>
          <w:iCs w:val="0"/>
          <w:sz w:val="20"/>
          <w:szCs w:val="18"/>
        </w:rPr>
        <w:t xml:space="preserve"> </w:t>
      </w:r>
      <w:r w:rsidR="00BF540A">
        <w:rPr>
          <w:rStyle w:val="Heading3Char"/>
          <w:rFonts w:eastAsiaTheme="minorHAnsi" w:cstheme="minorBidi"/>
          <w:b w:val="0"/>
          <w:bCs w:val="0"/>
          <w:iCs w:val="0"/>
          <w:sz w:val="20"/>
          <w:szCs w:val="18"/>
        </w:rPr>
        <w:t xml:space="preserve">of these </w:t>
      </w:r>
      <w:r w:rsidR="00902881">
        <w:rPr>
          <w:rStyle w:val="Heading3Char"/>
          <w:rFonts w:eastAsiaTheme="minorHAnsi" w:cstheme="minorBidi"/>
          <w:b w:val="0"/>
          <w:bCs w:val="0"/>
          <w:iCs w:val="0"/>
          <w:sz w:val="20"/>
          <w:szCs w:val="18"/>
        </w:rPr>
        <w:t xml:space="preserve">to install </w:t>
      </w:r>
      <w:r w:rsidR="00B461AB">
        <w:rPr>
          <w:rStyle w:val="Heading3Char"/>
          <w:rFonts w:eastAsiaTheme="minorHAnsi" w:cstheme="minorBidi"/>
          <w:b w:val="0"/>
          <w:bCs w:val="0"/>
          <w:iCs w:val="0"/>
          <w:sz w:val="20"/>
          <w:szCs w:val="18"/>
        </w:rPr>
        <w:t>EWR measures at low or no cost to the customer</w:t>
      </w:r>
      <w:r w:rsidR="001372DA">
        <w:rPr>
          <w:rStyle w:val="Heading3Char"/>
          <w:rFonts w:eastAsiaTheme="minorHAnsi" w:cstheme="minorBidi"/>
          <w:b w:val="0"/>
          <w:bCs w:val="0"/>
          <w:iCs w:val="0"/>
          <w:sz w:val="20"/>
          <w:szCs w:val="18"/>
        </w:rPr>
        <w:t xml:space="preserve">. </w:t>
      </w:r>
      <w:r w:rsidR="00B461AB">
        <w:rPr>
          <w:rStyle w:val="Heading3Char"/>
          <w:rFonts w:eastAsiaTheme="minorHAnsi" w:cstheme="minorBidi"/>
          <w:b w:val="0"/>
          <w:bCs w:val="0"/>
          <w:iCs w:val="0"/>
          <w:sz w:val="20"/>
          <w:szCs w:val="18"/>
        </w:rPr>
        <w:t>Measures include lighting, hot water savings devices, infiltration reduction, and other</w:t>
      </w:r>
      <w:r w:rsidR="009D0B90">
        <w:rPr>
          <w:rStyle w:val="Heading3Char"/>
          <w:rFonts w:eastAsiaTheme="minorHAnsi" w:cstheme="minorBidi"/>
          <w:b w:val="0"/>
          <w:bCs w:val="0"/>
          <w:iCs w:val="0"/>
          <w:sz w:val="20"/>
          <w:szCs w:val="18"/>
        </w:rPr>
        <w:t>s</w:t>
      </w:r>
      <w:r w:rsidR="00B461AB">
        <w:rPr>
          <w:rStyle w:val="Heading3Char"/>
          <w:rFonts w:eastAsiaTheme="minorHAnsi" w:cstheme="minorBidi"/>
          <w:b w:val="0"/>
          <w:bCs w:val="0"/>
          <w:iCs w:val="0"/>
          <w:sz w:val="20"/>
          <w:szCs w:val="18"/>
        </w:rPr>
        <w:t xml:space="preserve">. </w:t>
      </w:r>
      <w:r w:rsidR="00E23693">
        <w:rPr>
          <w:rStyle w:val="Heading3Char"/>
          <w:rFonts w:eastAsiaTheme="minorHAnsi" w:cstheme="minorBidi"/>
          <w:b w:val="0"/>
          <w:bCs w:val="0"/>
          <w:iCs w:val="0"/>
          <w:sz w:val="20"/>
          <w:szCs w:val="18"/>
        </w:rPr>
        <w:t>In some cases, the onsite visit begins with an assessment of energy savings opportunities.</w:t>
      </w:r>
      <w:bookmarkEnd w:id="66"/>
      <w:bookmarkEnd w:id="67"/>
      <w:bookmarkEnd w:id="68"/>
      <w:bookmarkEnd w:id="69"/>
      <w:bookmarkEnd w:id="70"/>
      <w:bookmarkEnd w:id="71"/>
      <w:bookmarkEnd w:id="72"/>
      <w:bookmarkEnd w:id="73"/>
      <w:r w:rsidR="00E23693">
        <w:rPr>
          <w:rStyle w:val="Heading3Char"/>
          <w:rFonts w:eastAsiaTheme="minorHAnsi" w:cstheme="minorBidi"/>
          <w:b w:val="0"/>
          <w:bCs w:val="0"/>
          <w:iCs w:val="0"/>
          <w:sz w:val="20"/>
          <w:szCs w:val="18"/>
        </w:rPr>
        <w:t xml:space="preserve"> </w:t>
      </w:r>
    </w:p>
    <w:p w:rsidR="00744A7D" w:rsidRDefault="00744A7D" w:rsidP="002B56CE">
      <w:pPr>
        <w:pStyle w:val="BodyText"/>
        <w:spacing w:before="120" w:after="120"/>
        <w:rPr>
          <w:rStyle w:val="Heading3Char"/>
          <w:rFonts w:eastAsiaTheme="minorHAnsi" w:cstheme="minorBidi"/>
          <w:b w:val="0"/>
          <w:bCs w:val="0"/>
          <w:iCs w:val="0"/>
          <w:sz w:val="20"/>
          <w:szCs w:val="18"/>
        </w:rPr>
      </w:pPr>
      <w:bookmarkStart w:id="74" w:name="_Toc514427415"/>
      <w:bookmarkStart w:id="75" w:name="_Toc514432737"/>
      <w:bookmarkStart w:id="76" w:name="_Toc515529416"/>
      <w:bookmarkStart w:id="77" w:name="_Toc526809707"/>
      <w:bookmarkStart w:id="78" w:name="_Toc527121334"/>
      <w:bookmarkStart w:id="79" w:name="_Toc527121866"/>
      <w:bookmarkStart w:id="80" w:name="_Toc533742415"/>
      <w:bookmarkStart w:id="81" w:name="_Toc533742680"/>
      <w:r>
        <w:rPr>
          <w:rStyle w:val="Heading3Char"/>
          <w:rFonts w:eastAsiaTheme="minorHAnsi" w:cstheme="minorBidi"/>
          <w:b w:val="0"/>
          <w:bCs w:val="0"/>
          <w:iCs w:val="0"/>
          <w:sz w:val="20"/>
          <w:szCs w:val="18"/>
        </w:rPr>
        <w:t>A critical consideration with direct</w:t>
      </w:r>
      <w:r w:rsidR="009D0B90">
        <w:rPr>
          <w:rStyle w:val="Heading3Char"/>
          <w:rFonts w:eastAsiaTheme="minorHAnsi" w:cstheme="minorBidi"/>
          <w:b w:val="0"/>
          <w:bCs w:val="0"/>
          <w:iCs w:val="0"/>
          <w:sz w:val="20"/>
          <w:szCs w:val="18"/>
        </w:rPr>
        <w:t>-</w:t>
      </w:r>
      <w:r>
        <w:rPr>
          <w:rStyle w:val="Heading3Char"/>
          <w:rFonts w:eastAsiaTheme="minorHAnsi" w:cstheme="minorBidi"/>
          <w:b w:val="0"/>
          <w:bCs w:val="0"/>
          <w:iCs w:val="0"/>
          <w:sz w:val="20"/>
          <w:szCs w:val="18"/>
        </w:rPr>
        <w:t>delivery programs is to avoid lost opportunity savings. Often, the cost of sending an installation team onsite represents a significant portion of the delivery cost. In order to maximize cost-effectiveness, as many EWR improvements as possible</w:t>
      </w:r>
      <w:r w:rsidR="00696020">
        <w:rPr>
          <w:rStyle w:val="Heading3Char"/>
          <w:rFonts w:eastAsiaTheme="minorHAnsi" w:cstheme="minorBidi"/>
          <w:b w:val="0"/>
          <w:bCs w:val="0"/>
          <w:iCs w:val="0"/>
          <w:sz w:val="20"/>
          <w:szCs w:val="18"/>
        </w:rPr>
        <w:t xml:space="preserve"> </w:t>
      </w:r>
      <w:r w:rsidR="009D0B90">
        <w:rPr>
          <w:rStyle w:val="Heading3Char"/>
          <w:rFonts w:eastAsiaTheme="minorHAnsi" w:cstheme="minorBidi"/>
          <w:b w:val="0"/>
          <w:bCs w:val="0"/>
          <w:iCs w:val="0"/>
          <w:sz w:val="20"/>
          <w:szCs w:val="18"/>
        </w:rPr>
        <w:t xml:space="preserve">must be </w:t>
      </w:r>
      <w:r w:rsidR="00696020">
        <w:rPr>
          <w:rStyle w:val="Heading3Char"/>
          <w:rFonts w:eastAsiaTheme="minorHAnsi" w:cstheme="minorBidi"/>
          <w:b w:val="0"/>
          <w:bCs w:val="0"/>
          <w:iCs w:val="0"/>
          <w:sz w:val="20"/>
          <w:szCs w:val="18"/>
        </w:rPr>
        <w:t>made while onsite.</w:t>
      </w:r>
      <w:r w:rsidR="00215298">
        <w:rPr>
          <w:rStyle w:val="Heading3Char"/>
          <w:rFonts w:eastAsiaTheme="minorHAnsi" w:cstheme="minorBidi"/>
          <w:b w:val="0"/>
          <w:bCs w:val="0"/>
          <w:iCs w:val="0"/>
          <w:sz w:val="20"/>
          <w:szCs w:val="18"/>
        </w:rPr>
        <w:t xml:space="preserve"> Onsite visits also present an opportunity to collect customer information</w:t>
      </w:r>
      <w:r w:rsidR="004A1CB2">
        <w:rPr>
          <w:rStyle w:val="Heading3Char"/>
          <w:rFonts w:eastAsiaTheme="minorHAnsi" w:cstheme="minorBidi"/>
          <w:b w:val="0"/>
          <w:bCs w:val="0"/>
          <w:iCs w:val="0"/>
          <w:sz w:val="20"/>
          <w:szCs w:val="18"/>
        </w:rPr>
        <w:t xml:space="preserve"> and housing characteristics that help to inform baseline conditions from which energy savings opportunities are measure</w:t>
      </w:r>
      <w:r w:rsidR="00BF540A">
        <w:rPr>
          <w:rStyle w:val="Heading3Char"/>
          <w:rFonts w:eastAsiaTheme="minorHAnsi" w:cstheme="minorBidi"/>
          <w:b w:val="0"/>
          <w:bCs w:val="0"/>
          <w:iCs w:val="0"/>
          <w:sz w:val="20"/>
          <w:szCs w:val="18"/>
        </w:rPr>
        <w:t>d</w:t>
      </w:r>
      <w:r w:rsidR="004A1CB2">
        <w:rPr>
          <w:rStyle w:val="Heading3Char"/>
          <w:rFonts w:eastAsiaTheme="minorHAnsi" w:cstheme="minorBidi"/>
          <w:b w:val="0"/>
          <w:bCs w:val="0"/>
          <w:iCs w:val="0"/>
          <w:sz w:val="20"/>
          <w:szCs w:val="18"/>
        </w:rPr>
        <w:t>.</w:t>
      </w:r>
      <w:bookmarkEnd w:id="74"/>
      <w:bookmarkEnd w:id="75"/>
      <w:bookmarkEnd w:id="76"/>
      <w:bookmarkEnd w:id="77"/>
      <w:bookmarkEnd w:id="78"/>
      <w:bookmarkEnd w:id="79"/>
      <w:bookmarkEnd w:id="80"/>
      <w:bookmarkEnd w:id="81"/>
    </w:p>
    <w:p w:rsidR="0040511A" w:rsidRDefault="0040511A" w:rsidP="002B56CE">
      <w:pPr>
        <w:pStyle w:val="BodyText"/>
        <w:spacing w:before="120" w:after="120"/>
        <w:rPr>
          <w:rStyle w:val="Heading3Char"/>
          <w:rFonts w:eastAsiaTheme="minorHAnsi" w:cstheme="minorBidi"/>
          <w:b w:val="0"/>
          <w:bCs w:val="0"/>
          <w:iCs w:val="0"/>
          <w:sz w:val="20"/>
          <w:szCs w:val="18"/>
        </w:rPr>
      </w:pPr>
      <w:bookmarkStart w:id="82" w:name="_Toc514427416"/>
      <w:bookmarkStart w:id="83" w:name="_Toc514432738"/>
      <w:bookmarkStart w:id="84" w:name="_Toc515529417"/>
      <w:bookmarkStart w:id="85" w:name="_Toc526809708"/>
      <w:bookmarkStart w:id="86" w:name="_Toc527121335"/>
      <w:bookmarkStart w:id="87" w:name="_Toc527121867"/>
      <w:bookmarkStart w:id="88" w:name="_Toc533742416"/>
      <w:bookmarkStart w:id="89" w:name="_Toc533742681"/>
      <w:r>
        <w:rPr>
          <w:rStyle w:val="Heading3Char"/>
          <w:rFonts w:eastAsiaTheme="minorHAnsi" w:cstheme="minorBidi"/>
          <w:b w:val="0"/>
          <w:bCs w:val="0"/>
          <w:iCs w:val="0"/>
          <w:sz w:val="20"/>
          <w:szCs w:val="18"/>
        </w:rPr>
        <w:t>Typically, utilities bear the full measure cost for EWR upgrades made for hard-to-reach customers</w:t>
      </w:r>
      <w:r w:rsidR="00323349">
        <w:rPr>
          <w:rStyle w:val="Heading3Char"/>
          <w:rFonts w:eastAsiaTheme="minorHAnsi" w:cstheme="minorBidi"/>
          <w:b w:val="0"/>
          <w:bCs w:val="0"/>
          <w:iCs w:val="0"/>
          <w:sz w:val="20"/>
          <w:szCs w:val="18"/>
        </w:rPr>
        <w:t>,</w:t>
      </w:r>
      <w:r>
        <w:rPr>
          <w:rStyle w:val="Heading3Char"/>
          <w:rFonts w:eastAsiaTheme="minorHAnsi" w:cstheme="minorBidi"/>
          <w:b w:val="0"/>
          <w:bCs w:val="0"/>
          <w:iCs w:val="0"/>
          <w:sz w:val="20"/>
          <w:szCs w:val="18"/>
        </w:rPr>
        <w:t xml:space="preserve"> as those customers are</w:t>
      </w:r>
      <w:r w:rsidR="00BF540A">
        <w:rPr>
          <w:rStyle w:val="Heading3Char"/>
          <w:rFonts w:eastAsiaTheme="minorHAnsi" w:cstheme="minorBidi"/>
          <w:b w:val="0"/>
          <w:bCs w:val="0"/>
          <w:iCs w:val="0"/>
          <w:sz w:val="20"/>
          <w:szCs w:val="18"/>
        </w:rPr>
        <w:t xml:space="preserve"> sometimes</w:t>
      </w:r>
      <w:r>
        <w:rPr>
          <w:rStyle w:val="Heading3Char"/>
          <w:rFonts w:eastAsiaTheme="minorHAnsi" w:cstheme="minorBidi"/>
          <w:b w:val="0"/>
          <w:bCs w:val="0"/>
          <w:iCs w:val="0"/>
          <w:sz w:val="20"/>
          <w:szCs w:val="18"/>
        </w:rPr>
        <w:t xml:space="preserve"> unable (in the case of income-qualified customers) or unwilling (in the case of landlords or multifamily property managers)</w:t>
      </w:r>
      <w:r w:rsidR="00BF540A">
        <w:rPr>
          <w:rStyle w:val="Heading3Char"/>
          <w:rFonts w:eastAsiaTheme="minorHAnsi" w:cstheme="minorBidi"/>
          <w:b w:val="0"/>
          <w:bCs w:val="0"/>
          <w:iCs w:val="0"/>
          <w:sz w:val="20"/>
          <w:szCs w:val="18"/>
        </w:rPr>
        <w:t xml:space="preserve"> to contribute to project costs themselves</w:t>
      </w:r>
      <w:r>
        <w:rPr>
          <w:rStyle w:val="Heading3Char"/>
          <w:rFonts w:eastAsiaTheme="minorHAnsi" w:cstheme="minorBidi"/>
          <w:b w:val="0"/>
          <w:bCs w:val="0"/>
          <w:iCs w:val="0"/>
          <w:sz w:val="20"/>
          <w:szCs w:val="18"/>
        </w:rPr>
        <w:t>. There are federal and state programs designed to encourage energy</w:t>
      </w:r>
      <w:r w:rsidR="00BF540A">
        <w:rPr>
          <w:rStyle w:val="Heading3Char"/>
          <w:rFonts w:eastAsiaTheme="minorHAnsi" w:cstheme="minorBidi"/>
          <w:b w:val="0"/>
          <w:bCs w:val="0"/>
          <w:iCs w:val="0"/>
          <w:sz w:val="20"/>
          <w:szCs w:val="18"/>
        </w:rPr>
        <w:t>-</w:t>
      </w:r>
      <w:r>
        <w:rPr>
          <w:rStyle w:val="Heading3Char"/>
          <w:rFonts w:eastAsiaTheme="minorHAnsi" w:cstheme="minorBidi"/>
          <w:b w:val="0"/>
          <w:bCs w:val="0"/>
          <w:iCs w:val="0"/>
          <w:sz w:val="20"/>
          <w:szCs w:val="18"/>
        </w:rPr>
        <w:t>efficiency investment for these hard</w:t>
      </w:r>
      <w:r w:rsidR="00BF540A">
        <w:rPr>
          <w:rStyle w:val="Heading3Char"/>
          <w:rFonts w:eastAsiaTheme="minorHAnsi" w:cstheme="minorBidi"/>
          <w:b w:val="0"/>
          <w:bCs w:val="0"/>
          <w:iCs w:val="0"/>
          <w:sz w:val="20"/>
          <w:szCs w:val="18"/>
        </w:rPr>
        <w:t>-</w:t>
      </w:r>
      <w:r>
        <w:rPr>
          <w:rStyle w:val="Heading3Char"/>
          <w:rFonts w:eastAsiaTheme="minorHAnsi" w:cstheme="minorBidi"/>
          <w:b w:val="0"/>
          <w:bCs w:val="0"/>
          <w:iCs w:val="0"/>
          <w:sz w:val="20"/>
          <w:szCs w:val="18"/>
        </w:rPr>
        <w:t>to</w:t>
      </w:r>
      <w:r w:rsidR="00BF540A">
        <w:rPr>
          <w:rStyle w:val="Heading3Char"/>
          <w:rFonts w:eastAsiaTheme="minorHAnsi" w:cstheme="minorBidi"/>
          <w:b w:val="0"/>
          <w:bCs w:val="0"/>
          <w:iCs w:val="0"/>
          <w:sz w:val="20"/>
          <w:szCs w:val="18"/>
        </w:rPr>
        <w:t>-</w:t>
      </w:r>
      <w:r>
        <w:rPr>
          <w:rStyle w:val="Heading3Char"/>
          <w:rFonts w:eastAsiaTheme="minorHAnsi" w:cstheme="minorBidi"/>
          <w:b w:val="0"/>
          <w:bCs w:val="0"/>
          <w:iCs w:val="0"/>
          <w:sz w:val="20"/>
          <w:szCs w:val="18"/>
        </w:rPr>
        <w:t xml:space="preserve">reach </w:t>
      </w:r>
      <w:r>
        <w:rPr>
          <w:rStyle w:val="Heading3Char"/>
          <w:rFonts w:eastAsiaTheme="minorHAnsi" w:cstheme="minorBidi"/>
          <w:b w:val="0"/>
          <w:bCs w:val="0"/>
          <w:iCs w:val="0"/>
          <w:sz w:val="20"/>
          <w:szCs w:val="18"/>
        </w:rPr>
        <w:lastRenderedPageBreak/>
        <w:t>customers</w:t>
      </w:r>
      <w:r w:rsidR="00BF540A">
        <w:rPr>
          <w:rStyle w:val="Heading3Char"/>
          <w:rFonts w:eastAsiaTheme="minorHAnsi" w:cstheme="minorBidi"/>
          <w:b w:val="0"/>
          <w:bCs w:val="0"/>
          <w:iCs w:val="0"/>
          <w:sz w:val="20"/>
          <w:szCs w:val="18"/>
        </w:rPr>
        <w:t>, and</w:t>
      </w:r>
      <w:r w:rsidR="00DF6930">
        <w:rPr>
          <w:rStyle w:val="Heading3Char"/>
          <w:rFonts w:eastAsiaTheme="minorHAnsi" w:cstheme="minorBidi"/>
          <w:b w:val="0"/>
          <w:bCs w:val="0"/>
          <w:iCs w:val="0"/>
          <w:sz w:val="20"/>
          <w:szCs w:val="18"/>
        </w:rPr>
        <w:t xml:space="preserve"> leveraging these funding opportunities can reduce the cost to utilities and ratepayers or can allow expanded services in these households to make significant and lasting efficiency improvements that reduce the energy burden of vulnerable customers.</w:t>
      </w:r>
      <w:bookmarkEnd w:id="82"/>
      <w:bookmarkEnd w:id="83"/>
      <w:bookmarkEnd w:id="84"/>
      <w:bookmarkEnd w:id="85"/>
      <w:bookmarkEnd w:id="86"/>
      <w:bookmarkEnd w:id="87"/>
      <w:bookmarkEnd w:id="88"/>
      <w:bookmarkEnd w:id="89"/>
      <w:r w:rsidR="00DF6930">
        <w:rPr>
          <w:rStyle w:val="Heading3Char"/>
          <w:rFonts w:eastAsiaTheme="minorHAnsi" w:cstheme="minorBidi"/>
          <w:b w:val="0"/>
          <w:bCs w:val="0"/>
          <w:iCs w:val="0"/>
          <w:sz w:val="20"/>
          <w:szCs w:val="18"/>
        </w:rPr>
        <w:t xml:space="preserve"> </w:t>
      </w:r>
    </w:p>
    <w:p w:rsidR="00BE298D" w:rsidRDefault="00BE298D" w:rsidP="002B56CE">
      <w:pPr>
        <w:pStyle w:val="BodyText"/>
        <w:spacing w:before="120" w:after="120"/>
        <w:rPr>
          <w:rStyle w:val="Heading3Char"/>
          <w:rFonts w:eastAsiaTheme="minorHAnsi" w:cstheme="minorBidi"/>
          <w:b w:val="0"/>
          <w:bCs w:val="0"/>
          <w:iCs w:val="0"/>
          <w:sz w:val="20"/>
          <w:szCs w:val="18"/>
        </w:rPr>
      </w:pPr>
      <w:bookmarkStart w:id="90" w:name="_Toc514427417"/>
      <w:bookmarkStart w:id="91" w:name="_Toc514432739"/>
      <w:bookmarkStart w:id="92" w:name="_Toc515529418"/>
      <w:bookmarkStart w:id="93" w:name="_Toc526809709"/>
      <w:bookmarkStart w:id="94" w:name="_Toc527121868"/>
      <w:bookmarkStart w:id="95" w:name="_Toc533742417"/>
      <w:bookmarkStart w:id="96" w:name="_Toc533742682"/>
      <w:r>
        <w:rPr>
          <w:rStyle w:val="Heading3Char"/>
          <w:rFonts w:eastAsiaTheme="minorHAnsi" w:cstheme="minorBidi"/>
          <w:b w:val="0"/>
          <w:bCs w:val="0"/>
          <w:iCs w:val="0"/>
          <w:sz w:val="20"/>
          <w:szCs w:val="18"/>
        </w:rPr>
        <w:t>Direct</w:t>
      </w:r>
      <w:r w:rsidR="009D0B90">
        <w:rPr>
          <w:rStyle w:val="Heading3Char"/>
          <w:rFonts w:eastAsiaTheme="minorHAnsi" w:cstheme="minorBidi"/>
          <w:b w:val="0"/>
          <w:bCs w:val="0"/>
          <w:iCs w:val="0"/>
          <w:sz w:val="20"/>
          <w:szCs w:val="18"/>
        </w:rPr>
        <w:t>-</w:t>
      </w:r>
      <w:r>
        <w:rPr>
          <w:rStyle w:val="Heading3Char"/>
          <w:rFonts w:eastAsiaTheme="minorHAnsi" w:cstheme="minorBidi"/>
          <w:b w:val="0"/>
          <w:bCs w:val="0"/>
          <w:iCs w:val="0"/>
          <w:sz w:val="20"/>
          <w:szCs w:val="18"/>
        </w:rPr>
        <w:t xml:space="preserve">delivery programs can be enhanced </w:t>
      </w:r>
      <w:r w:rsidR="00BF540A">
        <w:rPr>
          <w:rStyle w:val="Heading3Char"/>
          <w:rFonts w:eastAsiaTheme="minorHAnsi" w:cstheme="minorBidi"/>
          <w:b w:val="0"/>
          <w:bCs w:val="0"/>
          <w:iCs w:val="0"/>
          <w:sz w:val="20"/>
          <w:szCs w:val="18"/>
        </w:rPr>
        <w:t xml:space="preserve">in </w:t>
      </w:r>
      <w:r>
        <w:rPr>
          <w:rStyle w:val="Heading3Char"/>
          <w:rFonts w:eastAsiaTheme="minorHAnsi" w:cstheme="minorBidi"/>
          <w:b w:val="0"/>
          <w:bCs w:val="0"/>
          <w:iCs w:val="0"/>
          <w:sz w:val="20"/>
          <w:szCs w:val="18"/>
        </w:rPr>
        <w:t>a number of ways</w:t>
      </w:r>
      <w:r w:rsidR="00323349">
        <w:rPr>
          <w:rStyle w:val="Heading3Char"/>
          <w:rFonts w:eastAsiaTheme="minorHAnsi" w:cstheme="minorBidi"/>
          <w:b w:val="0"/>
          <w:bCs w:val="0"/>
          <w:iCs w:val="0"/>
          <w:sz w:val="20"/>
          <w:szCs w:val="18"/>
        </w:rPr>
        <w:t>,</w:t>
      </w:r>
      <w:r>
        <w:rPr>
          <w:rStyle w:val="Heading3Char"/>
          <w:rFonts w:eastAsiaTheme="minorHAnsi" w:cstheme="minorBidi"/>
          <w:b w:val="0"/>
          <w:bCs w:val="0"/>
          <w:iCs w:val="0"/>
          <w:sz w:val="20"/>
          <w:szCs w:val="18"/>
        </w:rPr>
        <w:t xml:space="preserve"> including:</w:t>
      </w:r>
      <w:bookmarkEnd w:id="90"/>
      <w:bookmarkEnd w:id="91"/>
      <w:bookmarkEnd w:id="92"/>
      <w:bookmarkEnd w:id="93"/>
      <w:bookmarkEnd w:id="94"/>
      <w:bookmarkEnd w:id="95"/>
      <w:bookmarkEnd w:id="96"/>
      <w:r>
        <w:rPr>
          <w:rStyle w:val="Heading3Char"/>
          <w:rFonts w:eastAsiaTheme="minorHAnsi" w:cstheme="minorBidi"/>
          <w:b w:val="0"/>
          <w:bCs w:val="0"/>
          <w:iCs w:val="0"/>
          <w:sz w:val="20"/>
          <w:szCs w:val="18"/>
        </w:rPr>
        <w:t xml:space="preserve"> </w:t>
      </w:r>
    </w:p>
    <w:p w:rsidR="00507E62" w:rsidRPr="00BE298D" w:rsidRDefault="00634A50" w:rsidP="00BE298D">
      <w:pPr>
        <w:pStyle w:val="ListBullet"/>
      </w:pPr>
      <w:r w:rsidRPr="00BE298D">
        <w:t>Negotiat</w:t>
      </w:r>
      <w:r w:rsidR="00BF540A">
        <w:t xml:space="preserve">ing </w:t>
      </w:r>
      <w:r w:rsidRPr="00BE298D">
        <w:t xml:space="preserve">equipment </w:t>
      </w:r>
      <w:r w:rsidR="00BE298D">
        <w:t>costs and quality</w:t>
      </w:r>
      <w:r w:rsidR="00323349">
        <w:t>—</w:t>
      </w:r>
      <w:r w:rsidR="00BE298D">
        <w:t xml:space="preserve">if utilities standardize measure offerings with wide applicability and use their collective buying power, they can ensure that </w:t>
      </w:r>
      <w:r w:rsidR="00BF540A">
        <w:t xml:space="preserve">they </w:t>
      </w:r>
      <w:r w:rsidR="00C05DE7">
        <w:t>get the best products at the best price</w:t>
      </w:r>
    </w:p>
    <w:p w:rsidR="00507E62" w:rsidRPr="00BE298D" w:rsidRDefault="00634A50" w:rsidP="00BE298D">
      <w:pPr>
        <w:pStyle w:val="ListBullet"/>
      </w:pPr>
      <w:r w:rsidRPr="00BE298D">
        <w:t>Seek</w:t>
      </w:r>
      <w:r w:rsidR="00BF540A">
        <w:t>ing</w:t>
      </w:r>
      <w:r w:rsidRPr="00BE298D">
        <w:t xml:space="preserve"> additional funding sources or leverag</w:t>
      </w:r>
      <w:r w:rsidR="00BF540A">
        <w:t>ing</w:t>
      </w:r>
      <w:r w:rsidRPr="00BE298D">
        <w:t xml:space="preserve"> other investments, e.g., weatherization or home rehabilitation </w:t>
      </w:r>
      <w:r w:rsidR="00BE298D">
        <w:t xml:space="preserve">to maximize impact for individual households </w:t>
      </w:r>
    </w:p>
    <w:p w:rsidR="00507E62" w:rsidRPr="00BE298D" w:rsidRDefault="00BF540A" w:rsidP="00BE298D">
      <w:pPr>
        <w:pStyle w:val="ListBullet"/>
      </w:pPr>
      <w:r>
        <w:t>Capturing</w:t>
      </w:r>
      <w:r w:rsidR="00634A50" w:rsidRPr="00BE298D">
        <w:t xml:space="preserve"> all </w:t>
      </w:r>
      <w:r w:rsidR="00A65DC8" w:rsidRPr="00BE298D">
        <w:t>po</w:t>
      </w:r>
      <w:r w:rsidR="00A65DC8">
        <w:t>s</w:t>
      </w:r>
      <w:r w:rsidR="00A65DC8" w:rsidRPr="00BE298D">
        <w:t>sible</w:t>
      </w:r>
      <w:r w:rsidR="00634A50" w:rsidRPr="00BE298D">
        <w:t xml:space="preserve"> savings while onsite</w:t>
      </w:r>
      <w:r w:rsidR="006C6C15">
        <w:t>, a</w:t>
      </w:r>
      <w:r>
        <w:t>s it is costly to send crews to customers’ homes</w:t>
      </w:r>
    </w:p>
    <w:p w:rsidR="00507E62" w:rsidRPr="00BE298D" w:rsidRDefault="00634A50" w:rsidP="00BE298D">
      <w:pPr>
        <w:pStyle w:val="ListBullet"/>
      </w:pPr>
      <w:r w:rsidRPr="00BE298D">
        <w:t>Captur</w:t>
      </w:r>
      <w:r w:rsidR="00BF540A">
        <w:t>ing</w:t>
      </w:r>
      <w:r w:rsidRPr="00BE298D">
        <w:t xml:space="preserve"> baseline customer characteristic information while onsite (building stock, equipment characteristics to inform potential analysis, targeting strategies, savings calculations</w:t>
      </w:r>
      <w:r w:rsidR="00C21959">
        <w:t>, etc.)</w:t>
      </w:r>
    </w:p>
    <w:p w:rsidR="005816FD" w:rsidRDefault="00BE298D" w:rsidP="005816FD">
      <w:pPr>
        <w:pStyle w:val="BodyText"/>
      </w:pPr>
      <w:r>
        <w:t>Currently</w:t>
      </w:r>
      <w:r w:rsidR="00C46F28">
        <w:t>,</w:t>
      </w:r>
      <w:r>
        <w:t xml:space="preserve"> </w:t>
      </w:r>
      <w:r w:rsidR="00634A50" w:rsidRPr="00BE298D">
        <w:t>appliance recycling</w:t>
      </w:r>
      <w:r>
        <w:t xml:space="preserve"> is a direct</w:t>
      </w:r>
      <w:r w:rsidR="009D0B90">
        <w:t>-</w:t>
      </w:r>
      <w:r>
        <w:t xml:space="preserve">delivery program. With major efficiency upgrades for refrigerators adopted in 1994, the </w:t>
      </w:r>
      <w:r w:rsidR="00634A50" w:rsidRPr="00BE298D">
        <w:t xml:space="preserve">stock of inefficient refrigerators </w:t>
      </w:r>
      <w:r w:rsidR="00BF540A">
        <w:t xml:space="preserve">is </w:t>
      </w:r>
      <w:r w:rsidR="00634A50" w:rsidRPr="00BE298D">
        <w:t>diminishing</w:t>
      </w:r>
      <w:r>
        <w:t xml:space="preserve">. Utilities may consider </w:t>
      </w:r>
      <w:r w:rsidR="00BF540A">
        <w:t xml:space="preserve">including </w:t>
      </w:r>
      <w:r>
        <w:t xml:space="preserve">additional technologies </w:t>
      </w:r>
      <w:r w:rsidR="00BF540A">
        <w:t xml:space="preserve">(e.g., room air conditioners and dehumidifiers) </w:t>
      </w:r>
      <w:r>
        <w:t xml:space="preserve">for which early retirement would allow customers to upgrade </w:t>
      </w:r>
      <w:r w:rsidR="00FA17E4">
        <w:t xml:space="preserve">to </w:t>
      </w:r>
      <w:r>
        <w:t>high-efficiency</w:t>
      </w:r>
      <w:r w:rsidR="00FA17E4">
        <w:t xml:space="preserve"> options</w:t>
      </w:r>
      <w:r>
        <w:t xml:space="preserve">. </w:t>
      </w:r>
    </w:p>
    <w:p w:rsidR="00BE298D" w:rsidRDefault="00370D51" w:rsidP="005816FD">
      <w:pPr>
        <w:pStyle w:val="BodyText"/>
        <w:rPr>
          <w:rStyle w:val="Heading3Char"/>
          <w:rFonts w:eastAsiaTheme="minorHAnsi" w:cstheme="minorBidi"/>
          <w:b w:val="0"/>
          <w:bCs w:val="0"/>
          <w:iCs w:val="0"/>
          <w:sz w:val="20"/>
          <w:szCs w:val="18"/>
        </w:rPr>
      </w:pPr>
      <w:r>
        <w:rPr>
          <w:rStyle w:val="Heading3Char"/>
          <w:rFonts w:eastAsiaTheme="minorHAnsi" w:cstheme="minorBidi"/>
          <w:b w:val="0"/>
          <w:bCs w:val="0"/>
          <w:iCs w:val="0"/>
          <w:sz w:val="20"/>
          <w:szCs w:val="18"/>
        </w:rPr>
        <w:fldChar w:fldCharType="begin"/>
      </w:r>
      <w:r w:rsidR="00BE298D">
        <w:rPr>
          <w:rStyle w:val="Heading3Char"/>
          <w:rFonts w:eastAsiaTheme="minorHAnsi" w:cstheme="minorBidi"/>
          <w:b w:val="0"/>
          <w:bCs w:val="0"/>
          <w:iCs w:val="0"/>
          <w:sz w:val="20"/>
          <w:szCs w:val="18"/>
        </w:rPr>
        <w:instrText xml:space="preserve"> REF _Ref514317865 \h </w:instrText>
      </w:r>
      <w:r>
        <w:rPr>
          <w:rStyle w:val="Heading3Char"/>
          <w:rFonts w:eastAsiaTheme="minorHAnsi" w:cstheme="minorBidi"/>
          <w:b w:val="0"/>
          <w:bCs w:val="0"/>
          <w:iCs w:val="0"/>
          <w:sz w:val="20"/>
          <w:szCs w:val="18"/>
        </w:rPr>
      </w:r>
      <w:r>
        <w:rPr>
          <w:rStyle w:val="Heading3Char"/>
          <w:rFonts w:eastAsiaTheme="minorHAnsi" w:cstheme="minorBidi"/>
          <w:b w:val="0"/>
          <w:bCs w:val="0"/>
          <w:iCs w:val="0"/>
          <w:sz w:val="20"/>
          <w:szCs w:val="18"/>
        </w:rPr>
        <w:fldChar w:fldCharType="separate"/>
      </w:r>
      <w:r w:rsidR="00BF540A">
        <w:t xml:space="preserve">Exhibit </w:t>
      </w:r>
      <w:r w:rsidR="001E121C">
        <w:rPr>
          <w:noProof/>
        </w:rPr>
        <w:t>B-6</w:t>
      </w:r>
      <w:r>
        <w:rPr>
          <w:rStyle w:val="Heading3Char"/>
          <w:rFonts w:eastAsiaTheme="minorHAnsi" w:cstheme="minorBidi"/>
          <w:b w:val="0"/>
          <w:bCs w:val="0"/>
          <w:iCs w:val="0"/>
          <w:sz w:val="20"/>
          <w:szCs w:val="18"/>
        </w:rPr>
        <w:fldChar w:fldCharType="end"/>
      </w:r>
      <w:r w:rsidR="005816FD">
        <w:rPr>
          <w:rStyle w:val="Heading3Char"/>
          <w:rFonts w:eastAsiaTheme="minorHAnsi" w:cstheme="minorBidi"/>
          <w:b w:val="0"/>
          <w:bCs w:val="0"/>
          <w:iCs w:val="0"/>
          <w:sz w:val="20"/>
          <w:szCs w:val="18"/>
        </w:rPr>
        <w:t xml:space="preserve"> </w:t>
      </w:r>
      <w:r w:rsidR="005816FD">
        <w:t xml:space="preserve">identifies impacts and costs for a </w:t>
      </w:r>
      <w:r w:rsidR="003B2694">
        <w:t>Business as Usual</w:t>
      </w:r>
      <w:r w:rsidR="005816FD">
        <w:t xml:space="preserve"> scenario and for the </w:t>
      </w:r>
      <w:r w:rsidR="003B2694">
        <w:t>Strategic Portfolio</w:t>
      </w:r>
      <w:r w:rsidR="005816FD">
        <w:t xml:space="preserve"> scenario </w:t>
      </w:r>
      <w:r w:rsidR="006C6C15">
        <w:t>where</w:t>
      </w:r>
      <w:r w:rsidR="005816FD">
        <w:t xml:space="preserve"> enhanced delivery approaches</w:t>
      </w:r>
      <w:r w:rsidR="006C6C15">
        <w:t xml:space="preserve"> are adopted. </w:t>
      </w:r>
    </w:p>
    <w:p w:rsidR="00DF6930" w:rsidRDefault="00DF6930" w:rsidP="00DF6930">
      <w:pPr>
        <w:pStyle w:val="ExhibitTitle"/>
      </w:pPr>
      <w:bookmarkStart w:id="97" w:name="_Ref514317865"/>
      <w:bookmarkStart w:id="98" w:name="_Ref514317857"/>
      <w:r>
        <w:t xml:space="preserve">Exhibit </w:t>
      </w:r>
      <w:r w:rsidR="00370D51">
        <w:rPr>
          <w:noProof/>
        </w:rPr>
        <w:fldChar w:fldCharType="begin"/>
      </w:r>
      <w:r w:rsidR="003A6383">
        <w:rPr>
          <w:noProof/>
        </w:rPr>
        <w:instrText xml:space="preserve"> SEQ Exhibit \* ARABIC </w:instrText>
      </w:r>
      <w:r w:rsidR="00370D51">
        <w:rPr>
          <w:noProof/>
        </w:rPr>
        <w:fldChar w:fldCharType="separate"/>
      </w:r>
      <w:r w:rsidR="001E121C">
        <w:rPr>
          <w:noProof/>
        </w:rPr>
        <w:t>B-6</w:t>
      </w:r>
      <w:r w:rsidR="00370D51">
        <w:rPr>
          <w:noProof/>
        </w:rPr>
        <w:fldChar w:fldCharType="end"/>
      </w:r>
      <w:bookmarkEnd w:id="97"/>
      <w:r>
        <w:t>: Direct</w:t>
      </w:r>
      <w:r w:rsidR="009D0B90">
        <w:t>-d</w:t>
      </w:r>
      <w:r>
        <w:t>elivery Programs</w:t>
      </w:r>
      <w:bookmarkEnd w:id="98"/>
      <w:r>
        <w:t xml:space="preserve"> </w:t>
      </w:r>
    </w:p>
    <w:tbl>
      <w:tblPr>
        <w:tblW w:w="7805" w:type="dxa"/>
        <w:tblBorders>
          <w:bottom w:val="single" w:sz="4" w:space="0" w:color="auto"/>
          <w:insideH w:val="single" w:sz="4" w:space="0" w:color="auto"/>
        </w:tblBorders>
        <w:tblLook w:val="04A0"/>
      </w:tblPr>
      <w:tblGrid>
        <w:gridCol w:w="2785"/>
        <w:gridCol w:w="2520"/>
        <w:gridCol w:w="2500"/>
      </w:tblGrid>
      <w:tr w:rsidR="00DF6930" w:rsidRPr="005D34DF" w:rsidTr="009E6E96">
        <w:trPr>
          <w:trHeight w:val="300"/>
        </w:trPr>
        <w:tc>
          <w:tcPr>
            <w:tcW w:w="2785" w:type="dxa"/>
            <w:shd w:val="clear" w:color="auto" w:fill="auto"/>
            <w:noWrap/>
            <w:hideMark/>
          </w:tcPr>
          <w:p w:rsidR="00DF6930" w:rsidRPr="005D34DF" w:rsidRDefault="00DF6930" w:rsidP="00DF6930">
            <w:pPr>
              <w:pStyle w:val="TableHeader"/>
              <w:jc w:val="center"/>
            </w:pPr>
          </w:p>
        </w:tc>
        <w:tc>
          <w:tcPr>
            <w:tcW w:w="2520" w:type="dxa"/>
            <w:shd w:val="clear" w:color="auto" w:fill="auto"/>
            <w:noWrap/>
            <w:hideMark/>
          </w:tcPr>
          <w:p w:rsidR="00DF6930" w:rsidRPr="00E31E8A" w:rsidRDefault="00DF6930" w:rsidP="00DF6930">
            <w:pPr>
              <w:pStyle w:val="TableHeader"/>
              <w:jc w:val="center"/>
              <w:rPr>
                <w:rFonts w:ascii="Calibri" w:hAnsi="Calibri" w:cs="Calibri"/>
                <w:color w:val="000000"/>
                <w:sz w:val="22"/>
                <w:szCs w:val="22"/>
              </w:rPr>
            </w:pPr>
            <w:r w:rsidRPr="001B57F1">
              <w:t>Business as Usual</w:t>
            </w:r>
          </w:p>
        </w:tc>
        <w:tc>
          <w:tcPr>
            <w:tcW w:w="2500" w:type="dxa"/>
            <w:shd w:val="clear" w:color="auto" w:fill="auto"/>
            <w:noWrap/>
            <w:hideMark/>
          </w:tcPr>
          <w:p w:rsidR="00DF6930" w:rsidRPr="00E31E8A" w:rsidRDefault="00DF6930" w:rsidP="00DF6930">
            <w:pPr>
              <w:pStyle w:val="TableHeader"/>
              <w:jc w:val="center"/>
              <w:rPr>
                <w:rFonts w:ascii="Calibri" w:hAnsi="Calibri" w:cs="Calibri"/>
                <w:color w:val="000000"/>
                <w:sz w:val="22"/>
                <w:szCs w:val="22"/>
              </w:rPr>
            </w:pPr>
            <w:r w:rsidRPr="001B57F1">
              <w:t>Strategic Portfolio</w:t>
            </w:r>
          </w:p>
        </w:tc>
      </w:tr>
      <w:tr w:rsidR="00DF6930" w:rsidRPr="005D34DF" w:rsidTr="009E6E96">
        <w:trPr>
          <w:trHeight w:val="300"/>
        </w:trPr>
        <w:tc>
          <w:tcPr>
            <w:tcW w:w="2785" w:type="dxa"/>
            <w:shd w:val="clear" w:color="auto" w:fill="auto"/>
            <w:noWrap/>
            <w:hideMark/>
          </w:tcPr>
          <w:p w:rsidR="00DF6930" w:rsidRPr="005D34DF" w:rsidRDefault="00DF6930" w:rsidP="00DF6930">
            <w:pPr>
              <w:pStyle w:val="TableData"/>
              <w:rPr>
                <w:rFonts w:ascii="Calibri" w:eastAsia="Times New Roman" w:hAnsi="Calibri" w:cs="Calibri"/>
                <w:color w:val="000000"/>
                <w:sz w:val="22"/>
                <w:szCs w:val="22"/>
              </w:rPr>
            </w:pPr>
            <w:r w:rsidRPr="001B57F1">
              <w:t xml:space="preserve">Annual </w:t>
            </w:r>
            <w:r w:rsidR="00BD1840">
              <w:t>s</w:t>
            </w:r>
            <w:r w:rsidRPr="001B57F1">
              <w:t>avings (MWh)</w:t>
            </w:r>
          </w:p>
        </w:tc>
        <w:tc>
          <w:tcPr>
            <w:tcW w:w="2520" w:type="dxa"/>
            <w:shd w:val="clear" w:color="auto" w:fill="auto"/>
            <w:noWrap/>
            <w:hideMark/>
          </w:tcPr>
          <w:p w:rsidR="00DF6930" w:rsidRPr="005D34DF" w:rsidRDefault="00DF6930" w:rsidP="00DF6930">
            <w:pPr>
              <w:pStyle w:val="TableData"/>
              <w:jc w:val="center"/>
              <w:rPr>
                <w:rFonts w:ascii="Calibri" w:eastAsia="Times New Roman" w:hAnsi="Calibri" w:cs="Calibri"/>
                <w:color w:val="000000"/>
                <w:sz w:val="22"/>
                <w:szCs w:val="22"/>
              </w:rPr>
            </w:pPr>
            <w:r w:rsidRPr="001B57F1">
              <w:t>2,406</w:t>
            </w:r>
          </w:p>
        </w:tc>
        <w:tc>
          <w:tcPr>
            <w:tcW w:w="2500" w:type="dxa"/>
            <w:shd w:val="clear" w:color="auto" w:fill="auto"/>
            <w:noWrap/>
            <w:hideMark/>
          </w:tcPr>
          <w:p w:rsidR="00DF6930" w:rsidRPr="005D34DF" w:rsidRDefault="00DF6930" w:rsidP="00DF6930">
            <w:pPr>
              <w:pStyle w:val="TableData"/>
              <w:jc w:val="center"/>
              <w:rPr>
                <w:rFonts w:ascii="Calibri" w:eastAsia="Times New Roman" w:hAnsi="Calibri" w:cs="Calibri"/>
                <w:color w:val="000000"/>
                <w:sz w:val="22"/>
                <w:szCs w:val="22"/>
              </w:rPr>
            </w:pPr>
            <w:r w:rsidRPr="001B57F1">
              <w:t>2,587</w:t>
            </w:r>
          </w:p>
        </w:tc>
      </w:tr>
      <w:tr w:rsidR="00DF6930" w:rsidRPr="005D34DF" w:rsidTr="009E6E96">
        <w:trPr>
          <w:trHeight w:val="300"/>
        </w:trPr>
        <w:tc>
          <w:tcPr>
            <w:tcW w:w="2785" w:type="dxa"/>
            <w:shd w:val="clear" w:color="auto" w:fill="auto"/>
            <w:noWrap/>
            <w:hideMark/>
          </w:tcPr>
          <w:p w:rsidR="00DF6930" w:rsidRPr="005D34DF" w:rsidRDefault="00DF6930" w:rsidP="00DF6930">
            <w:pPr>
              <w:pStyle w:val="TableData"/>
              <w:rPr>
                <w:rFonts w:ascii="Calibri" w:eastAsia="Times New Roman" w:hAnsi="Calibri" w:cs="Calibri"/>
                <w:color w:val="000000"/>
                <w:sz w:val="22"/>
                <w:szCs w:val="22"/>
              </w:rPr>
            </w:pPr>
            <w:r w:rsidRPr="001B57F1">
              <w:t xml:space="preserve">Annual </w:t>
            </w:r>
            <w:r w:rsidR="00BD1840">
              <w:t>e</w:t>
            </w:r>
            <w:r w:rsidRPr="001B57F1">
              <w:t>xpenditure (</w:t>
            </w:r>
            <w:r w:rsidR="00C46F28">
              <w:t xml:space="preserve">in </w:t>
            </w:r>
            <w:r w:rsidR="006C387F">
              <w:t>thousands</w:t>
            </w:r>
            <w:r w:rsidRPr="001B57F1">
              <w:t>)</w:t>
            </w:r>
          </w:p>
        </w:tc>
        <w:tc>
          <w:tcPr>
            <w:tcW w:w="2520" w:type="dxa"/>
            <w:shd w:val="clear" w:color="auto" w:fill="auto"/>
            <w:noWrap/>
            <w:hideMark/>
          </w:tcPr>
          <w:p w:rsidR="00DF6930" w:rsidRPr="005D34DF" w:rsidRDefault="00DF6930" w:rsidP="00DF6930">
            <w:pPr>
              <w:pStyle w:val="TableData"/>
              <w:jc w:val="center"/>
              <w:rPr>
                <w:rFonts w:ascii="Calibri" w:eastAsia="Times New Roman" w:hAnsi="Calibri" w:cs="Calibri"/>
                <w:color w:val="000000"/>
                <w:sz w:val="22"/>
                <w:szCs w:val="22"/>
              </w:rPr>
            </w:pPr>
            <w:r w:rsidRPr="001B57F1">
              <w:t>$697</w:t>
            </w:r>
          </w:p>
        </w:tc>
        <w:tc>
          <w:tcPr>
            <w:tcW w:w="2500" w:type="dxa"/>
            <w:shd w:val="clear" w:color="auto" w:fill="auto"/>
            <w:noWrap/>
            <w:hideMark/>
          </w:tcPr>
          <w:p w:rsidR="00DF6930" w:rsidRPr="005D34DF" w:rsidRDefault="00DF6930" w:rsidP="00DF6930">
            <w:pPr>
              <w:pStyle w:val="TableData"/>
              <w:jc w:val="center"/>
              <w:rPr>
                <w:rFonts w:ascii="Calibri" w:eastAsia="Times New Roman" w:hAnsi="Calibri" w:cs="Calibri"/>
                <w:color w:val="000000"/>
                <w:sz w:val="22"/>
                <w:szCs w:val="22"/>
              </w:rPr>
            </w:pPr>
            <w:r w:rsidRPr="001B57F1">
              <w:t>$751</w:t>
            </w:r>
          </w:p>
        </w:tc>
      </w:tr>
      <w:tr w:rsidR="00DF6930" w:rsidRPr="005D34DF" w:rsidTr="009E6E96">
        <w:trPr>
          <w:trHeight w:val="300"/>
        </w:trPr>
        <w:tc>
          <w:tcPr>
            <w:tcW w:w="2785" w:type="dxa"/>
            <w:shd w:val="clear" w:color="auto" w:fill="auto"/>
            <w:noWrap/>
            <w:hideMark/>
          </w:tcPr>
          <w:p w:rsidR="00DF6930" w:rsidRPr="005D34DF" w:rsidRDefault="00DF6930" w:rsidP="00DF6930">
            <w:pPr>
              <w:pStyle w:val="TableData"/>
              <w:rPr>
                <w:rFonts w:ascii="Calibri" w:eastAsia="Times New Roman" w:hAnsi="Calibri" w:cs="Calibri"/>
                <w:color w:val="000000"/>
                <w:sz w:val="22"/>
                <w:szCs w:val="22"/>
              </w:rPr>
            </w:pPr>
            <w:r w:rsidRPr="001B57F1">
              <w:t xml:space="preserve">Cost of </w:t>
            </w:r>
            <w:r w:rsidR="00BD1840">
              <w:t>c</w:t>
            </w:r>
            <w:r w:rsidRPr="001B57F1">
              <w:t xml:space="preserve">onserved </w:t>
            </w:r>
            <w:r w:rsidR="00BD1840">
              <w:t>e</w:t>
            </w:r>
            <w:r w:rsidRPr="001B57F1">
              <w:t>nergy</w:t>
            </w:r>
          </w:p>
        </w:tc>
        <w:tc>
          <w:tcPr>
            <w:tcW w:w="2520" w:type="dxa"/>
            <w:shd w:val="clear" w:color="auto" w:fill="auto"/>
            <w:noWrap/>
            <w:hideMark/>
          </w:tcPr>
          <w:p w:rsidR="00DF6930" w:rsidRPr="005D34DF" w:rsidRDefault="00DF6930" w:rsidP="00DF6930">
            <w:pPr>
              <w:pStyle w:val="TableData"/>
              <w:jc w:val="center"/>
              <w:rPr>
                <w:rFonts w:ascii="Calibri" w:eastAsia="Times New Roman" w:hAnsi="Calibri" w:cs="Calibri"/>
                <w:color w:val="000000"/>
                <w:sz w:val="22"/>
                <w:szCs w:val="22"/>
              </w:rPr>
            </w:pPr>
            <w:r w:rsidRPr="001B57F1">
              <w:t>$0.0399</w:t>
            </w:r>
          </w:p>
        </w:tc>
        <w:tc>
          <w:tcPr>
            <w:tcW w:w="2500" w:type="dxa"/>
            <w:shd w:val="clear" w:color="auto" w:fill="auto"/>
            <w:noWrap/>
            <w:hideMark/>
          </w:tcPr>
          <w:p w:rsidR="00DF6930" w:rsidRPr="005D34DF" w:rsidRDefault="00DF6930" w:rsidP="00DF6930">
            <w:pPr>
              <w:pStyle w:val="TableData"/>
              <w:jc w:val="center"/>
              <w:rPr>
                <w:rFonts w:ascii="Calibri" w:eastAsia="Times New Roman" w:hAnsi="Calibri" w:cs="Calibri"/>
                <w:color w:val="000000"/>
                <w:sz w:val="22"/>
                <w:szCs w:val="22"/>
              </w:rPr>
            </w:pPr>
            <w:r w:rsidRPr="001B57F1">
              <w:t>$0.0400</w:t>
            </w:r>
          </w:p>
        </w:tc>
      </w:tr>
    </w:tbl>
    <w:p w:rsidR="00DF6930" w:rsidRDefault="00DF6930" w:rsidP="00DF6930">
      <w:pPr>
        <w:pStyle w:val="ExhibitSource"/>
      </w:pPr>
      <w:r>
        <w:t>Source: Public Sector Consultants analysis.</w:t>
      </w:r>
    </w:p>
    <w:p w:rsidR="009D7561" w:rsidRDefault="009D7561" w:rsidP="009D7561">
      <w:pPr>
        <w:pStyle w:val="Heading3"/>
        <w:rPr>
          <w:rStyle w:val="Heading3Char"/>
          <w:rFonts w:eastAsiaTheme="minorHAnsi" w:cstheme="minorBidi"/>
          <w:b/>
          <w:bCs/>
          <w:iCs/>
          <w:sz w:val="20"/>
          <w:szCs w:val="18"/>
        </w:rPr>
      </w:pPr>
      <w:bookmarkStart w:id="99" w:name="_Toc514427418"/>
      <w:bookmarkStart w:id="100" w:name="_Toc514432740"/>
      <w:bookmarkStart w:id="101" w:name="_Toc515529419"/>
      <w:bookmarkStart w:id="102" w:name="_Toc527121869"/>
      <w:bookmarkStart w:id="103" w:name="_Toc533742418"/>
      <w:bookmarkStart w:id="104" w:name="_Toc533742683"/>
      <w:r>
        <w:rPr>
          <w:rStyle w:val="Heading3Char"/>
          <w:rFonts w:eastAsiaTheme="minorHAnsi" w:cstheme="minorBidi"/>
          <w:b/>
          <w:bCs/>
          <w:iCs/>
          <w:sz w:val="20"/>
          <w:szCs w:val="18"/>
        </w:rPr>
        <w:t xml:space="preserve">Information and </w:t>
      </w:r>
      <w:r w:rsidR="005A3F0D">
        <w:rPr>
          <w:rStyle w:val="Heading3Char"/>
          <w:rFonts w:eastAsiaTheme="minorHAnsi" w:cstheme="minorBidi"/>
          <w:b/>
          <w:bCs/>
          <w:iCs/>
          <w:sz w:val="20"/>
          <w:szCs w:val="18"/>
        </w:rPr>
        <w:t>B</w:t>
      </w:r>
      <w:r>
        <w:rPr>
          <w:rStyle w:val="Heading3Char"/>
          <w:rFonts w:eastAsiaTheme="minorHAnsi" w:cstheme="minorBidi"/>
          <w:b/>
          <w:bCs/>
          <w:iCs/>
          <w:sz w:val="20"/>
          <w:szCs w:val="18"/>
        </w:rPr>
        <w:t xml:space="preserve">ehavior-based </w:t>
      </w:r>
      <w:r w:rsidR="005A3F0D">
        <w:rPr>
          <w:rStyle w:val="Heading3Char"/>
          <w:rFonts w:eastAsiaTheme="minorHAnsi" w:cstheme="minorBidi"/>
          <w:b/>
          <w:bCs/>
          <w:iCs/>
          <w:sz w:val="20"/>
          <w:szCs w:val="18"/>
        </w:rPr>
        <w:t>P</w:t>
      </w:r>
      <w:r>
        <w:rPr>
          <w:rStyle w:val="Heading3Char"/>
          <w:rFonts w:eastAsiaTheme="minorHAnsi" w:cstheme="minorBidi"/>
          <w:b/>
          <w:bCs/>
          <w:iCs/>
          <w:sz w:val="20"/>
          <w:szCs w:val="18"/>
        </w:rPr>
        <w:t>rograms</w:t>
      </w:r>
      <w:bookmarkEnd w:id="99"/>
      <w:bookmarkEnd w:id="100"/>
      <w:bookmarkEnd w:id="101"/>
      <w:bookmarkEnd w:id="102"/>
      <w:bookmarkEnd w:id="103"/>
      <w:bookmarkEnd w:id="104"/>
    </w:p>
    <w:p w:rsidR="005A309A" w:rsidRPr="005A309A" w:rsidRDefault="00D90AA1" w:rsidP="005A309A">
      <w:pPr>
        <w:pStyle w:val="BodyText"/>
      </w:pPr>
      <w:r>
        <w:t xml:space="preserve">Both </w:t>
      </w:r>
      <w:r w:rsidR="000C2127">
        <w:t>Efficiency UNITED</w:t>
      </w:r>
      <w:r w:rsidR="00E8462D">
        <w:t xml:space="preserve"> and the MECA </w:t>
      </w:r>
      <w:r w:rsidR="00B772DA">
        <w:t>C</w:t>
      </w:r>
      <w:r w:rsidR="00E8462D">
        <w:t xml:space="preserve">ollaborative offer online audits </w:t>
      </w:r>
      <w:r w:rsidR="00696020">
        <w:t>as well as a suite of other educational initiatives.</w:t>
      </w:r>
      <w:r w:rsidR="00CB2440">
        <w:t xml:space="preserve"> </w:t>
      </w:r>
    </w:p>
    <w:p w:rsidR="00602E40" w:rsidRPr="00602E40" w:rsidRDefault="00602E40" w:rsidP="00602E40">
      <w:pPr>
        <w:pStyle w:val="BodyText"/>
        <w:rPr>
          <w:rStyle w:val="Heading3Char"/>
          <w:rFonts w:eastAsiaTheme="minorHAnsi" w:cstheme="minorBidi"/>
          <w:b w:val="0"/>
          <w:bCs w:val="0"/>
          <w:iCs w:val="0"/>
          <w:sz w:val="20"/>
          <w:szCs w:val="18"/>
        </w:rPr>
      </w:pPr>
      <w:bookmarkStart w:id="105" w:name="_Toc514427419"/>
      <w:bookmarkStart w:id="106" w:name="_Toc514432741"/>
      <w:bookmarkStart w:id="107" w:name="_Toc515529420"/>
      <w:bookmarkStart w:id="108" w:name="_Toc526809711"/>
      <w:bookmarkStart w:id="109" w:name="_Toc527121870"/>
      <w:bookmarkStart w:id="110" w:name="_Toc533742419"/>
      <w:bookmarkStart w:id="111" w:name="_Toc533742684"/>
      <w:r w:rsidRPr="00602E40">
        <w:rPr>
          <w:rStyle w:val="Heading3Char"/>
          <w:rFonts w:eastAsiaTheme="minorHAnsi" w:cstheme="minorBidi"/>
          <w:b w:val="0"/>
          <w:bCs w:val="0"/>
          <w:iCs w:val="0"/>
          <w:sz w:val="20"/>
          <w:szCs w:val="18"/>
        </w:rPr>
        <w:t>Behavior</w:t>
      </w:r>
      <w:r>
        <w:rPr>
          <w:rStyle w:val="Heading3Char"/>
          <w:rFonts w:eastAsiaTheme="minorHAnsi" w:cstheme="minorBidi"/>
          <w:b w:val="0"/>
          <w:bCs w:val="0"/>
          <w:iCs w:val="0"/>
          <w:sz w:val="20"/>
          <w:szCs w:val="18"/>
        </w:rPr>
        <w:t xml:space="preserve">-based programs </w:t>
      </w:r>
      <w:r w:rsidRPr="00602E40">
        <w:rPr>
          <w:rStyle w:val="Heading3Char"/>
          <w:rFonts w:eastAsiaTheme="minorHAnsi" w:cstheme="minorBidi"/>
          <w:b w:val="0"/>
          <w:bCs w:val="0"/>
          <w:iCs w:val="0"/>
          <w:sz w:val="20"/>
          <w:szCs w:val="18"/>
        </w:rPr>
        <w:t xml:space="preserve">are a cost-effective </w:t>
      </w:r>
      <w:r>
        <w:rPr>
          <w:rStyle w:val="Heading3Char"/>
          <w:rFonts w:eastAsiaTheme="minorHAnsi" w:cstheme="minorBidi"/>
          <w:b w:val="0"/>
          <w:bCs w:val="0"/>
          <w:iCs w:val="0"/>
          <w:sz w:val="20"/>
          <w:szCs w:val="18"/>
        </w:rPr>
        <w:t>tool for EWR and can help ensure persistence of savings from other programs.</w:t>
      </w:r>
      <w:r w:rsidRPr="00602E40">
        <w:rPr>
          <w:rStyle w:val="Heading3Char"/>
          <w:rFonts w:eastAsiaTheme="minorHAnsi" w:cstheme="minorBidi"/>
          <w:b w:val="0"/>
          <w:bCs w:val="0"/>
          <w:iCs w:val="0"/>
          <w:sz w:val="20"/>
          <w:szCs w:val="18"/>
        </w:rPr>
        <w:t xml:space="preserve"> </w:t>
      </w:r>
      <w:r>
        <w:rPr>
          <w:rStyle w:val="Heading3Char"/>
          <w:rFonts w:eastAsiaTheme="minorHAnsi" w:cstheme="minorBidi"/>
          <w:b w:val="0"/>
          <w:bCs w:val="0"/>
          <w:iCs w:val="0"/>
          <w:sz w:val="20"/>
          <w:szCs w:val="18"/>
        </w:rPr>
        <w:t>Programs leverag</w:t>
      </w:r>
      <w:r w:rsidR="00BF540A">
        <w:rPr>
          <w:rStyle w:val="Heading3Char"/>
          <w:rFonts w:eastAsiaTheme="minorHAnsi" w:cstheme="minorBidi"/>
          <w:b w:val="0"/>
          <w:bCs w:val="0"/>
          <w:iCs w:val="0"/>
          <w:sz w:val="20"/>
          <w:szCs w:val="18"/>
        </w:rPr>
        <w:t>ing</w:t>
      </w:r>
      <w:r w:rsidRPr="00602E40">
        <w:rPr>
          <w:rStyle w:val="Heading3Char"/>
          <w:rFonts w:eastAsiaTheme="minorHAnsi" w:cstheme="minorBidi"/>
          <w:b w:val="0"/>
          <w:bCs w:val="0"/>
          <w:iCs w:val="0"/>
          <w:sz w:val="20"/>
          <w:szCs w:val="18"/>
        </w:rPr>
        <w:t xml:space="preserve"> insights from academic research in behavioral science, economics</w:t>
      </w:r>
      <w:r w:rsidR="004D60C0">
        <w:rPr>
          <w:rStyle w:val="Heading3Char"/>
          <w:rFonts w:eastAsiaTheme="minorHAnsi" w:cstheme="minorBidi"/>
          <w:b w:val="0"/>
          <w:bCs w:val="0"/>
          <w:iCs w:val="0"/>
          <w:sz w:val="20"/>
          <w:szCs w:val="18"/>
        </w:rPr>
        <w:t>,</w:t>
      </w:r>
      <w:r w:rsidRPr="00602E40">
        <w:rPr>
          <w:rStyle w:val="Heading3Char"/>
          <w:rFonts w:eastAsiaTheme="minorHAnsi" w:cstheme="minorBidi"/>
          <w:b w:val="0"/>
          <w:bCs w:val="0"/>
          <w:iCs w:val="0"/>
          <w:sz w:val="20"/>
          <w:szCs w:val="18"/>
        </w:rPr>
        <w:t xml:space="preserve"> and psychology can also help improve the performance of traditional efficiency programs. For example, a recent study </w:t>
      </w:r>
      <w:r w:rsidR="00C86960">
        <w:rPr>
          <w:rStyle w:val="Heading3Char"/>
          <w:rFonts w:eastAsiaTheme="minorHAnsi" w:cstheme="minorBidi"/>
          <w:b w:val="0"/>
          <w:bCs w:val="0"/>
          <w:iCs w:val="0"/>
          <w:sz w:val="20"/>
          <w:szCs w:val="18"/>
        </w:rPr>
        <w:t>estimated</w:t>
      </w:r>
      <w:r w:rsidRPr="00602E40">
        <w:rPr>
          <w:rStyle w:val="Heading3Char"/>
          <w:rFonts w:eastAsiaTheme="minorHAnsi" w:cstheme="minorBidi"/>
          <w:b w:val="0"/>
          <w:bCs w:val="0"/>
          <w:iCs w:val="0"/>
          <w:sz w:val="20"/>
          <w:szCs w:val="18"/>
        </w:rPr>
        <w:t xml:space="preserve"> that even if energy</w:t>
      </w:r>
      <w:r w:rsidR="00AD1C07">
        <w:rPr>
          <w:rStyle w:val="Heading3Char"/>
          <w:rFonts w:eastAsiaTheme="minorHAnsi" w:cstheme="minorBidi"/>
          <w:b w:val="0"/>
          <w:bCs w:val="0"/>
          <w:iCs w:val="0"/>
          <w:sz w:val="20"/>
          <w:szCs w:val="18"/>
        </w:rPr>
        <w:t>-</w:t>
      </w:r>
      <w:r w:rsidRPr="00602E40">
        <w:rPr>
          <w:rStyle w:val="Heading3Char"/>
          <w:rFonts w:eastAsiaTheme="minorHAnsi" w:cstheme="minorBidi"/>
          <w:b w:val="0"/>
          <w:bCs w:val="0"/>
          <w:iCs w:val="0"/>
          <w:sz w:val="20"/>
          <w:szCs w:val="18"/>
        </w:rPr>
        <w:t>efficient residential lighting technology is in place, there is still approximately 11</w:t>
      </w:r>
      <w:r w:rsidR="002035C6">
        <w:rPr>
          <w:rStyle w:val="Heading3Char"/>
          <w:rFonts w:eastAsiaTheme="minorHAnsi" w:cstheme="minorBidi"/>
          <w:b w:val="0"/>
          <w:bCs w:val="0"/>
          <w:iCs w:val="0"/>
          <w:sz w:val="20"/>
          <w:szCs w:val="18"/>
        </w:rPr>
        <w:t xml:space="preserve"> percent </w:t>
      </w:r>
      <w:r w:rsidRPr="00602E40">
        <w:rPr>
          <w:rStyle w:val="Heading3Char"/>
          <w:rFonts w:eastAsiaTheme="minorHAnsi" w:cstheme="minorBidi"/>
          <w:b w:val="0"/>
          <w:bCs w:val="0"/>
          <w:iCs w:val="0"/>
          <w:sz w:val="20"/>
          <w:szCs w:val="18"/>
        </w:rPr>
        <w:t>waste due to occupant behavior</w:t>
      </w:r>
      <w:bookmarkEnd w:id="105"/>
      <w:bookmarkEnd w:id="106"/>
      <w:r w:rsidR="00AD1C07">
        <w:rPr>
          <w:rStyle w:val="Heading3Char"/>
          <w:rFonts w:eastAsiaTheme="minorHAnsi" w:cstheme="minorBidi"/>
          <w:b w:val="0"/>
          <w:bCs w:val="0"/>
          <w:iCs w:val="0"/>
          <w:sz w:val="20"/>
          <w:szCs w:val="18"/>
        </w:rPr>
        <w:t>.</w:t>
      </w:r>
      <w:bookmarkEnd w:id="107"/>
      <w:bookmarkEnd w:id="108"/>
      <w:bookmarkEnd w:id="109"/>
      <w:bookmarkEnd w:id="110"/>
      <w:bookmarkEnd w:id="111"/>
      <w:r w:rsidR="00331A2B">
        <w:rPr>
          <w:rStyle w:val="FootnoteReference"/>
        </w:rPr>
        <w:footnoteReference w:id="27"/>
      </w:r>
      <w:r w:rsidRPr="00602E40">
        <w:rPr>
          <w:rStyle w:val="Heading3Char"/>
          <w:rFonts w:eastAsiaTheme="minorHAnsi" w:cstheme="minorBidi"/>
          <w:b w:val="0"/>
          <w:bCs w:val="0"/>
          <w:iCs w:val="0"/>
          <w:sz w:val="20"/>
          <w:szCs w:val="18"/>
        </w:rPr>
        <w:t xml:space="preserve"> </w:t>
      </w:r>
      <w:r w:rsidR="005A309A">
        <w:rPr>
          <w:rStyle w:val="Heading3Char"/>
          <w:rFonts w:eastAsiaTheme="minorHAnsi" w:cstheme="minorBidi"/>
          <w:b w:val="0"/>
          <w:bCs w:val="0"/>
          <w:iCs w:val="0"/>
          <w:sz w:val="20"/>
          <w:szCs w:val="18"/>
        </w:rPr>
        <w:t>Key considerations related to behavior-based savings include:</w:t>
      </w:r>
    </w:p>
    <w:p w:rsidR="00602E40" w:rsidRPr="00602E40" w:rsidRDefault="00602E40" w:rsidP="005A309A">
      <w:pPr>
        <w:pStyle w:val="ListBullet"/>
        <w:rPr>
          <w:rStyle w:val="Heading3Char"/>
          <w:rFonts w:eastAsiaTheme="minorHAnsi" w:cstheme="minorBidi"/>
          <w:b w:val="0"/>
          <w:bCs w:val="0"/>
          <w:iCs w:val="0"/>
          <w:sz w:val="20"/>
          <w:szCs w:val="18"/>
        </w:rPr>
      </w:pPr>
      <w:bookmarkStart w:id="112" w:name="_Toc514427420"/>
      <w:bookmarkStart w:id="113" w:name="_Toc514432742"/>
      <w:bookmarkStart w:id="114" w:name="_Toc515529421"/>
      <w:bookmarkStart w:id="115" w:name="_Toc526809712"/>
      <w:bookmarkStart w:id="116" w:name="_Toc527121871"/>
      <w:bookmarkStart w:id="117" w:name="_Toc533742420"/>
      <w:bookmarkStart w:id="118" w:name="_Toc533742685"/>
      <w:r w:rsidRPr="00D90AA1">
        <w:rPr>
          <w:rStyle w:val="Heading3Char"/>
          <w:rFonts w:eastAsiaTheme="minorHAnsi" w:cstheme="minorBidi"/>
          <w:bCs w:val="0"/>
          <w:iCs w:val="0"/>
          <w:sz w:val="20"/>
          <w:szCs w:val="18"/>
        </w:rPr>
        <w:lastRenderedPageBreak/>
        <w:t xml:space="preserve">Enabling </w:t>
      </w:r>
      <w:r w:rsidR="005A309A" w:rsidRPr="00D90AA1">
        <w:rPr>
          <w:rStyle w:val="Heading3Char"/>
          <w:rFonts w:eastAsiaTheme="minorHAnsi" w:cstheme="minorBidi"/>
          <w:bCs w:val="0"/>
          <w:iCs w:val="0"/>
          <w:sz w:val="20"/>
          <w:szCs w:val="18"/>
        </w:rPr>
        <w:t>access to energy usage data</w:t>
      </w:r>
      <w:r w:rsidR="00D90AA1" w:rsidRPr="00D90AA1">
        <w:rPr>
          <w:rStyle w:val="Heading3Char"/>
          <w:rFonts w:eastAsiaTheme="minorHAnsi" w:cstheme="minorBidi"/>
          <w:bCs w:val="0"/>
          <w:iCs w:val="0"/>
          <w:sz w:val="20"/>
          <w:szCs w:val="18"/>
        </w:rPr>
        <w:t xml:space="preserve">. </w:t>
      </w:r>
      <w:r w:rsidR="00D90AA1">
        <w:rPr>
          <w:rStyle w:val="Heading3Char"/>
          <w:rFonts w:eastAsiaTheme="minorHAnsi" w:cstheme="minorBidi"/>
          <w:b w:val="0"/>
          <w:bCs w:val="0"/>
          <w:iCs w:val="0"/>
          <w:sz w:val="20"/>
          <w:szCs w:val="18"/>
        </w:rPr>
        <w:t>As advanced metering technologies are implemented across utilities, many are utilizing the data to provide customers with a better understand</w:t>
      </w:r>
      <w:r w:rsidR="00BF540A">
        <w:rPr>
          <w:rStyle w:val="Heading3Char"/>
          <w:rFonts w:eastAsiaTheme="minorHAnsi" w:cstheme="minorBidi"/>
          <w:b w:val="0"/>
          <w:bCs w:val="0"/>
          <w:iCs w:val="0"/>
          <w:sz w:val="20"/>
          <w:szCs w:val="18"/>
        </w:rPr>
        <w:t>ing</w:t>
      </w:r>
      <w:r w:rsidR="00D90AA1">
        <w:rPr>
          <w:rStyle w:val="Heading3Char"/>
          <w:rFonts w:eastAsiaTheme="minorHAnsi" w:cstheme="minorBidi"/>
          <w:b w:val="0"/>
          <w:bCs w:val="0"/>
          <w:iCs w:val="0"/>
          <w:sz w:val="20"/>
          <w:szCs w:val="18"/>
        </w:rPr>
        <w:t xml:space="preserve"> of how and when they use energy.</w:t>
      </w:r>
      <w:bookmarkEnd w:id="112"/>
      <w:bookmarkEnd w:id="113"/>
      <w:bookmarkEnd w:id="114"/>
      <w:bookmarkEnd w:id="115"/>
      <w:bookmarkEnd w:id="116"/>
      <w:bookmarkEnd w:id="117"/>
      <w:bookmarkEnd w:id="118"/>
      <w:r w:rsidR="00CB2440">
        <w:rPr>
          <w:rStyle w:val="Heading3Char"/>
          <w:rFonts w:eastAsiaTheme="minorHAnsi" w:cstheme="minorBidi"/>
          <w:b w:val="0"/>
          <w:bCs w:val="0"/>
          <w:iCs w:val="0"/>
          <w:sz w:val="20"/>
          <w:szCs w:val="18"/>
        </w:rPr>
        <w:t xml:space="preserve"> </w:t>
      </w:r>
    </w:p>
    <w:p w:rsidR="00602E40" w:rsidRPr="00602E40" w:rsidRDefault="00602E40" w:rsidP="005A309A">
      <w:pPr>
        <w:pStyle w:val="ListBullet"/>
        <w:rPr>
          <w:rStyle w:val="Heading3Char"/>
          <w:rFonts w:eastAsiaTheme="minorHAnsi" w:cstheme="minorBidi"/>
          <w:b w:val="0"/>
          <w:bCs w:val="0"/>
          <w:iCs w:val="0"/>
          <w:sz w:val="20"/>
          <w:szCs w:val="18"/>
        </w:rPr>
      </w:pPr>
      <w:bookmarkStart w:id="119" w:name="_Toc514427421"/>
      <w:bookmarkStart w:id="120" w:name="_Toc514432743"/>
      <w:bookmarkStart w:id="121" w:name="_Toc515529422"/>
      <w:bookmarkStart w:id="122" w:name="_Toc526809713"/>
      <w:bookmarkStart w:id="123" w:name="_Toc527121872"/>
      <w:bookmarkStart w:id="124" w:name="_Toc533742421"/>
      <w:bookmarkStart w:id="125" w:name="_Toc533742686"/>
      <w:r w:rsidRPr="00D90AA1">
        <w:rPr>
          <w:rStyle w:val="Heading3Char"/>
          <w:rFonts w:eastAsiaTheme="minorHAnsi" w:cstheme="minorBidi"/>
          <w:bCs w:val="0"/>
          <w:iCs w:val="0"/>
          <w:sz w:val="20"/>
          <w:szCs w:val="18"/>
        </w:rPr>
        <w:t xml:space="preserve">Incorporating </w:t>
      </w:r>
      <w:r w:rsidR="005A309A" w:rsidRPr="00D90AA1">
        <w:rPr>
          <w:rStyle w:val="Heading3Char"/>
          <w:rFonts w:eastAsiaTheme="minorHAnsi" w:cstheme="minorBidi"/>
          <w:bCs w:val="0"/>
          <w:iCs w:val="0"/>
          <w:sz w:val="20"/>
          <w:szCs w:val="18"/>
        </w:rPr>
        <w:t>behavioral insights into program design</w:t>
      </w:r>
      <w:r w:rsidRPr="00D90AA1">
        <w:rPr>
          <w:rStyle w:val="Heading3Char"/>
          <w:rFonts w:eastAsiaTheme="minorHAnsi" w:cstheme="minorBidi"/>
          <w:bCs w:val="0"/>
          <w:iCs w:val="0"/>
          <w:sz w:val="20"/>
          <w:szCs w:val="18"/>
        </w:rPr>
        <w:t>.</w:t>
      </w:r>
      <w:r w:rsidRPr="00602E40">
        <w:rPr>
          <w:rStyle w:val="Heading3Char"/>
          <w:rFonts w:eastAsiaTheme="minorHAnsi" w:cstheme="minorBidi"/>
          <w:b w:val="0"/>
          <w:bCs w:val="0"/>
          <w:iCs w:val="0"/>
          <w:sz w:val="20"/>
          <w:szCs w:val="18"/>
        </w:rPr>
        <w:t xml:space="preserve"> The application of behavioral research can </w:t>
      </w:r>
      <w:r w:rsidR="00D90AA1">
        <w:rPr>
          <w:rStyle w:val="Heading3Char"/>
          <w:rFonts w:eastAsiaTheme="minorHAnsi" w:cstheme="minorBidi"/>
          <w:b w:val="0"/>
          <w:bCs w:val="0"/>
          <w:iCs w:val="0"/>
          <w:sz w:val="20"/>
          <w:szCs w:val="18"/>
        </w:rPr>
        <w:t>drive</w:t>
      </w:r>
      <w:r w:rsidRPr="00602E40">
        <w:rPr>
          <w:rStyle w:val="Heading3Char"/>
          <w:rFonts w:eastAsiaTheme="minorHAnsi" w:cstheme="minorBidi"/>
          <w:b w:val="0"/>
          <w:bCs w:val="0"/>
          <w:iCs w:val="0"/>
          <w:sz w:val="20"/>
          <w:szCs w:val="18"/>
        </w:rPr>
        <w:t xml:space="preserve"> better programs</w:t>
      </w:r>
      <w:r w:rsidR="00BF540A">
        <w:rPr>
          <w:rStyle w:val="Heading3Char"/>
          <w:rFonts w:eastAsiaTheme="minorHAnsi" w:cstheme="minorBidi"/>
          <w:b w:val="0"/>
          <w:bCs w:val="0"/>
          <w:iCs w:val="0"/>
          <w:sz w:val="20"/>
          <w:szCs w:val="18"/>
        </w:rPr>
        <w:t xml:space="preserve"> that</w:t>
      </w:r>
      <w:r w:rsidRPr="00602E40">
        <w:rPr>
          <w:rStyle w:val="Heading3Char"/>
          <w:rFonts w:eastAsiaTheme="minorHAnsi" w:cstheme="minorBidi"/>
          <w:b w:val="0"/>
          <w:bCs w:val="0"/>
          <w:iCs w:val="0"/>
          <w:sz w:val="20"/>
          <w:szCs w:val="18"/>
        </w:rPr>
        <w:t xml:space="preserve"> may be able to achieve more savings or increase participation rates with the application of behavioral science principles.</w:t>
      </w:r>
      <w:bookmarkEnd w:id="119"/>
      <w:bookmarkEnd w:id="120"/>
      <w:bookmarkEnd w:id="121"/>
      <w:bookmarkEnd w:id="122"/>
      <w:bookmarkEnd w:id="123"/>
      <w:bookmarkEnd w:id="124"/>
      <w:bookmarkEnd w:id="125"/>
    </w:p>
    <w:p w:rsidR="009D7561" w:rsidRDefault="00602E40" w:rsidP="005A309A">
      <w:pPr>
        <w:pStyle w:val="ListBullet"/>
        <w:rPr>
          <w:rStyle w:val="Heading3Char"/>
          <w:rFonts w:eastAsiaTheme="minorHAnsi" w:cstheme="minorBidi"/>
          <w:b w:val="0"/>
          <w:bCs w:val="0"/>
          <w:iCs w:val="0"/>
          <w:sz w:val="20"/>
          <w:szCs w:val="18"/>
        </w:rPr>
      </w:pPr>
      <w:bookmarkStart w:id="126" w:name="_Toc515529423"/>
      <w:bookmarkStart w:id="127" w:name="_Toc526809714"/>
      <w:bookmarkStart w:id="128" w:name="_Toc527121873"/>
      <w:bookmarkStart w:id="129" w:name="_Toc533742422"/>
      <w:bookmarkStart w:id="130" w:name="_Toc533742687"/>
      <w:bookmarkStart w:id="131" w:name="_Toc514427422"/>
      <w:bookmarkStart w:id="132" w:name="_Toc514432744"/>
      <w:r w:rsidRPr="00D90AA1">
        <w:rPr>
          <w:rStyle w:val="Heading3Char"/>
          <w:rFonts w:eastAsiaTheme="minorHAnsi" w:cstheme="minorBidi"/>
          <w:bCs w:val="0"/>
          <w:iCs w:val="0"/>
          <w:sz w:val="20"/>
          <w:szCs w:val="18"/>
        </w:rPr>
        <w:t xml:space="preserve">Measuring </w:t>
      </w:r>
      <w:r w:rsidR="005A309A" w:rsidRPr="00D90AA1">
        <w:rPr>
          <w:rStyle w:val="Heading3Char"/>
          <w:rFonts w:eastAsiaTheme="minorHAnsi" w:cstheme="minorBidi"/>
          <w:bCs w:val="0"/>
          <w:iCs w:val="0"/>
          <w:sz w:val="20"/>
          <w:szCs w:val="18"/>
        </w:rPr>
        <w:t>savings from behavior-based efficiency programs</w:t>
      </w:r>
      <w:r w:rsidRPr="00D90AA1">
        <w:rPr>
          <w:rStyle w:val="Heading3Char"/>
          <w:rFonts w:eastAsiaTheme="minorHAnsi" w:cstheme="minorBidi"/>
          <w:bCs w:val="0"/>
          <w:iCs w:val="0"/>
          <w:sz w:val="20"/>
          <w:szCs w:val="18"/>
        </w:rPr>
        <w:t>.</w:t>
      </w:r>
      <w:r w:rsidRPr="00602E40">
        <w:rPr>
          <w:rStyle w:val="Heading3Char"/>
          <w:rFonts w:eastAsiaTheme="minorHAnsi" w:cstheme="minorBidi"/>
          <w:b w:val="0"/>
          <w:bCs w:val="0"/>
          <w:iCs w:val="0"/>
          <w:sz w:val="20"/>
          <w:szCs w:val="18"/>
        </w:rPr>
        <w:t xml:space="preserve"> Large</w:t>
      </w:r>
      <w:r w:rsidR="00AD1C07">
        <w:rPr>
          <w:rStyle w:val="Heading3Char"/>
          <w:rFonts w:eastAsiaTheme="minorHAnsi" w:cstheme="minorBidi"/>
          <w:b w:val="0"/>
          <w:bCs w:val="0"/>
          <w:iCs w:val="0"/>
          <w:sz w:val="20"/>
          <w:szCs w:val="18"/>
        </w:rPr>
        <w:t>-</w:t>
      </w:r>
      <w:r w:rsidRPr="00602E40">
        <w:rPr>
          <w:rStyle w:val="Heading3Char"/>
          <w:rFonts w:eastAsiaTheme="minorHAnsi" w:cstheme="minorBidi"/>
          <w:b w:val="0"/>
          <w:bCs w:val="0"/>
          <w:iCs w:val="0"/>
          <w:sz w:val="20"/>
          <w:szCs w:val="18"/>
        </w:rPr>
        <w:t>scale</w:t>
      </w:r>
      <w:r w:rsidR="00AD1C07">
        <w:rPr>
          <w:rStyle w:val="Heading3Char"/>
          <w:rFonts w:eastAsiaTheme="minorHAnsi" w:cstheme="minorBidi"/>
          <w:b w:val="0"/>
          <w:bCs w:val="0"/>
          <w:iCs w:val="0"/>
          <w:sz w:val="20"/>
          <w:szCs w:val="18"/>
        </w:rPr>
        <w:t>,</w:t>
      </w:r>
      <w:r w:rsidRPr="00602E40">
        <w:rPr>
          <w:rStyle w:val="Heading3Char"/>
          <w:rFonts w:eastAsiaTheme="minorHAnsi" w:cstheme="minorBidi"/>
          <w:b w:val="0"/>
          <w:bCs w:val="0"/>
          <w:iCs w:val="0"/>
          <w:sz w:val="20"/>
          <w:szCs w:val="18"/>
        </w:rPr>
        <w:t xml:space="preserve"> behavior</w:t>
      </w:r>
      <w:r w:rsidR="005A309A">
        <w:rPr>
          <w:rStyle w:val="Heading3Char"/>
          <w:rFonts w:eastAsiaTheme="minorHAnsi" w:cstheme="minorBidi"/>
          <w:b w:val="0"/>
          <w:bCs w:val="0"/>
          <w:iCs w:val="0"/>
          <w:sz w:val="20"/>
          <w:szCs w:val="18"/>
        </w:rPr>
        <w:t>-</w:t>
      </w:r>
      <w:r w:rsidRPr="00602E40">
        <w:rPr>
          <w:rStyle w:val="Heading3Char"/>
          <w:rFonts w:eastAsiaTheme="minorHAnsi" w:cstheme="minorBidi"/>
          <w:b w:val="0"/>
          <w:bCs w:val="0"/>
          <w:iCs w:val="0"/>
          <w:sz w:val="20"/>
          <w:szCs w:val="18"/>
        </w:rPr>
        <w:t>based energy</w:t>
      </w:r>
      <w:r w:rsidR="00AD1C07">
        <w:rPr>
          <w:rStyle w:val="Heading3Char"/>
          <w:rFonts w:eastAsiaTheme="minorHAnsi" w:cstheme="minorBidi"/>
          <w:b w:val="0"/>
          <w:bCs w:val="0"/>
          <w:iCs w:val="0"/>
          <w:sz w:val="20"/>
          <w:szCs w:val="18"/>
        </w:rPr>
        <w:t>-</w:t>
      </w:r>
      <w:r w:rsidRPr="00602E40">
        <w:rPr>
          <w:rStyle w:val="Heading3Char"/>
          <w:rFonts w:eastAsiaTheme="minorHAnsi" w:cstheme="minorBidi"/>
          <w:b w:val="0"/>
          <w:bCs w:val="0"/>
          <w:iCs w:val="0"/>
          <w:sz w:val="20"/>
          <w:szCs w:val="18"/>
        </w:rPr>
        <w:t xml:space="preserve">efficiency programs are a relatively new strategy for acquiring savings. Rigorous evaluation methods are needed </w:t>
      </w:r>
      <w:r w:rsidR="00D90AA1">
        <w:rPr>
          <w:rStyle w:val="Heading3Char"/>
          <w:rFonts w:eastAsiaTheme="minorHAnsi" w:cstheme="minorBidi"/>
          <w:b w:val="0"/>
          <w:bCs w:val="0"/>
          <w:iCs w:val="0"/>
          <w:sz w:val="20"/>
          <w:szCs w:val="18"/>
        </w:rPr>
        <w:t>to generate</w:t>
      </w:r>
      <w:r w:rsidRPr="00602E40">
        <w:rPr>
          <w:rStyle w:val="Heading3Char"/>
          <w:rFonts w:eastAsiaTheme="minorHAnsi" w:cstheme="minorBidi"/>
          <w:b w:val="0"/>
          <w:bCs w:val="0"/>
          <w:iCs w:val="0"/>
          <w:sz w:val="20"/>
          <w:szCs w:val="18"/>
        </w:rPr>
        <w:t xml:space="preserve"> savings estimates from these programs </w:t>
      </w:r>
      <w:r w:rsidR="00D90AA1">
        <w:rPr>
          <w:rStyle w:val="Heading3Char"/>
          <w:rFonts w:eastAsiaTheme="minorHAnsi" w:cstheme="minorBidi"/>
          <w:b w:val="0"/>
          <w:bCs w:val="0"/>
          <w:iCs w:val="0"/>
          <w:sz w:val="20"/>
          <w:szCs w:val="18"/>
        </w:rPr>
        <w:t>with confidence</w:t>
      </w:r>
      <w:r w:rsidR="00BF540A">
        <w:rPr>
          <w:rStyle w:val="Heading3Char"/>
          <w:rFonts w:eastAsiaTheme="minorHAnsi" w:cstheme="minorBidi"/>
          <w:b w:val="0"/>
          <w:bCs w:val="0"/>
          <w:iCs w:val="0"/>
          <w:sz w:val="20"/>
          <w:szCs w:val="18"/>
        </w:rPr>
        <w:t>; verify savings validity; and understand issues</w:t>
      </w:r>
      <w:r w:rsidR="00AD1C07">
        <w:rPr>
          <w:rStyle w:val="Heading3Char"/>
          <w:rFonts w:eastAsiaTheme="minorHAnsi" w:cstheme="minorBidi"/>
          <w:b w:val="0"/>
          <w:bCs w:val="0"/>
          <w:iCs w:val="0"/>
          <w:sz w:val="20"/>
          <w:szCs w:val="18"/>
        </w:rPr>
        <w:t>,</w:t>
      </w:r>
      <w:r w:rsidR="00BF540A">
        <w:rPr>
          <w:rStyle w:val="Heading3Char"/>
          <w:rFonts w:eastAsiaTheme="minorHAnsi" w:cstheme="minorBidi"/>
          <w:b w:val="0"/>
          <w:bCs w:val="0"/>
          <w:iCs w:val="0"/>
          <w:sz w:val="20"/>
          <w:szCs w:val="18"/>
        </w:rPr>
        <w:t xml:space="preserve"> such as savings persistence</w:t>
      </w:r>
      <w:r w:rsidR="00D90AA1">
        <w:rPr>
          <w:rStyle w:val="Heading3Char"/>
          <w:rFonts w:eastAsiaTheme="minorHAnsi" w:cstheme="minorBidi"/>
          <w:b w:val="0"/>
          <w:bCs w:val="0"/>
          <w:iCs w:val="0"/>
          <w:sz w:val="20"/>
          <w:szCs w:val="18"/>
        </w:rPr>
        <w:t>.</w:t>
      </w:r>
      <w:bookmarkEnd w:id="126"/>
      <w:bookmarkEnd w:id="127"/>
      <w:bookmarkEnd w:id="128"/>
      <w:bookmarkEnd w:id="129"/>
      <w:bookmarkEnd w:id="130"/>
      <w:r w:rsidR="00D90AA1">
        <w:rPr>
          <w:rStyle w:val="Heading3Char"/>
          <w:rFonts w:eastAsiaTheme="minorHAnsi" w:cstheme="minorBidi"/>
          <w:b w:val="0"/>
          <w:bCs w:val="0"/>
          <w:iCs w:val="0"/>
          <w:sz w:val="20"/>
          <w:szCs w:val="18"/>
        </w:rPr>
        <w:t xml:space="preserve"> </w:t>
      </w:r>
      <w:bookmarkEnd w:id="131"/>
      <w:bookmarkEnd w:id="132"/>
    </w:p>
    <w:p w:rsidR="0040511A" w:rsidRDefault="00370D51" w:rsidP="0040511A">
      <w:pPr>
        <w:pStyle w:val="BodyText"/>
        <w:rPr>
          <w:rStyle w:val="Heading3Char"/>
          <w:rFonts w:eastAsiaTheme="minorHAnsi" w:cstheme="minorBidi"/>
          <w:b w:val="0"/>
          <w:bCs w:val="0"/>
          <w:iCs w:val="0"/>
          <w:sz w:val="20"/>
          <w:szCs w:val="18"/>
        </w:rPr>
      </w:pPr>
      <w:r>
        <w:rPr>
          <w:rStyle w:val="Heading3Char"/>
          <w:rFonts w:eastAsiaTheme="minorHAnsi" w:cstheme="minorBidi"/>
          <w:b w:val="0"/>
          <w:bCs w:val="0"/>
          <w:iCs w:val="0"/>
          <w:sz w:val="20"/>
          <w:szCs w:val="18"/>
        </w:rPr>
        <w:fldChar w:fldCharType="begin"/>
      </w:r>
      <w:r w:rsidR="0040511A">
        <w:rPr>
          <w:rStyle w:val="Heading3Char"/>
          <w:rFonts w:eastAsiaTheme="minorHAnsi" w:cstheme="minorBidi"/>
          <w:b w:val="0"/>
          <w:bCs w:val="0"/>
          <w:iCs w:val="0"/>
          <w:sz w:val="20"/>
          <w:szCs w:val="18"/>
        </w:rPr>
        <w:instrText xml:space="preserve"> REF _Ref514229089 \h </w:instrText>
      </w:r>
      <w:r>
        <w:rPr>
          <w:rStyle w:val="Heading3Char"/>
          <w:rFonts w:eastAsiaTheme="minorHAnsi" w:cstheme="minorBidi"/>
          <w:b w:val="0"/>
          <w:bCs w:val="0"/>
          <w:iCs w:val="0"/>
          <w:sz w:val="20"/>
          <w:szCs w:val="18"/>
        </w:rPr>
      </w:r>
      <w:r>
        <w:rPr>
          <w:rStyle w:val="Heading3Char"/>
          <w:rFonts w:eastAsiaTheme="minorHAnsi" w:cstheme="minorBidi"/>
          <w:b w:val="0"/>
          <w:bCs w:val="0"/>
          <w:iCs w:val="0"/>
          <w:sz w:val="20"/>
          <w:szCs w:val="18"/>
        </w:rPr>
        <w:fldChar w:fldCharType="separate"/>
      </w:r>
      <w:r w:rsidR="00E23693">
        <w:t xml:space="preserve">Exhibit </w:t>
      </w:r>
      <w:r w:rsidR="001E121C">
        <w:rPr>
          <w:noProof/>
        </w:rPr>
        <w:t>B-7</w:t>
      </w:r>
      <w:r>
        <w:rPr>
          <w:rStyle w:val="Heading3Char"/>
          <w:rFonts w:eastAsiaTheme="minorHAnsi" w:cstheme="minorBidi"/>
          <w:b w:val="0"/>
          <w:bCs w:val="0"/>
          <w:iCs w:val="0"/>
          <w:sz w:val="20"/>
          <w:szCs w:val="18"/>
        </w:rPr>
        <w:fldChar w:fldCharType="end"/>
      </w:r>
      <w:r w:rsidR="0040511A">
        <w:rPr>
          <w:rStyle w:val="Heading3Char"/>
          <w:rFonts w:eastAsiaTheme="minorHAnsi" w:cstheme="minorBidi"/>
          <w:b w:val="0"/>
          <w:bCs w:val="0"/>
          <w:iCs w:val="0"/>
          <w:sz w:val="20"/>
          <w:szCs w:val="18"/>
        </w:rPr>
        <w:t xml:space="preserve"> shows the </w:t>
      </w:r>
      <w:r w:rsidR="003B2694">
        <w:rPr>
          <w:rStyle w:val="Heading3Char"/>
          <w:rFonts w:eastAsiaTheme="minorHAnsi" w:cstheme="minorBidi"/>
          <w:b w:val="0"/>
          <w:bCs w:val="0"/>
          <w:iCs w:val="0"/>
          <w:sz w:val="20"/>
          <w:szCs w:val="18"/>
        </w:rPr>
        <w:t>Business as Usual</w:t>
      </w:r>
      <w:r w:rsidR="0040511A">
        <w:rPr>
          <w:rStyle w:val="Heading3Char"/>
          <w:rFonts w:eastAsiaTheme="minorHAnsi" w:cstheme="minorBidi"/>
          <w:b w:val="0"/>
          <w:bCs w:val="0"/>
          <w:iCs w:val="0"/>
          <w:sz w:val="20"/>
          <w:szCs w:val="18"/>
        </w:rPr>
        <w:t xml:space="preserve"> and </w:t>
      </w:r>
      <w:r w:rsidR="003B2694">
        <w:rPr>
          <w:rStyle w:val="Heading3Char"/>
          <w:rFonts w:eastAsiaTheme="minorHAnsi" w:cstheme="minorBidi"/>
          <w:b w:val="0"/>
          <w:bCs w:val="0"/>
          <w:iCs w:val="0"/>
          <w:sz w:val="20"/>
          <w:szCs w:val="18"/>
        </w:rPr>
        <w:t>Strategic Portfolio</w:t>
      </w:r>
      <w:r w:rsidR="0040511A">
        <w:rPr>
          <w:rStyle w:val="Heading3Char"/>
          <w:rFonts w:eastAsiaTheme="minorHAnsi" w:cstheme="minorBidi"/>
          <w:b w:val="0"/>
          <w:bCs w:val="0"/>
          <w:iCs w:val="0"/>
          <w:sz w:val="20"/>
          <w:szCs w:val="18"/>
        </w:rPr>
        <w:t xml:space="preserve"> scenarios for the information and energy education services. The</w:t>
      </w:r>
      <w:r w:rsidR="003346F8">
        <w:rPr>
          <w:rStyle w:val="Heading3Char"/>
          <w:rFonts w:eastAsiaTheme="minorHAnsi" w:cstheme="minorBidi"/>
          <w:b w:val="0"/>
          <w:bCs w:val="0"/>
          <w:iCs w:val="0"/>
          <w:sz w:val="20"/>
          <w:szCs w:val="18"/>
        </w:rPr>
        <w:t>se programs have a higher</w:t>
      </w:r>
      <w:r w:rsidR="0040511A">
        <w:rPr>
          <w:rStyle w:val="Heading3Char"/>
          <w:rFonts w:eastAsiaTheme="minorHAnsi" w:cstheme="minorBidi"/>
          <w:b w:val="0"/>
          <w:bCs w:val="0"/>
          <w:iCs w:val="0"/>
          <w:sz w:val="20"/>
          <w:szCs w:val="18"/>
        </w:rPr>
        <w:t xml:space="preserve"> cost of conserved energy</w:t>
      </w:r>
      <w:r w:rsidR="006C6C15">
        <w:rPr>
          <w:rStyle w:val="Heading3Char"/>
          <w:rFonts w:eastAsiaTheme="minorHAnsi" w:cstheme="minorBidi"/>
          <w:b w:val="0"/>
          <w:bCs w:val="0"/>
          <w:iCs w:val="0"/>
          <w:sz w:val="20"/>
          <w:szCs w:val="18"/>
        </w:rPr>
        <w:t xml:space="preserve"> when compared to other initiatives</w:t>
      </w:r>
      <w:r w:rsidR="0040511A">
        <w:rPr>
          <w:rStyle w:val="Heading3Char"/>
          <w:rFonts w:eastAsiaTheme="minorHAnsi" w:cstheme="minorBidi"/>
          <w:b w:val="0"/>
          <w:bCs w:val="0"/>
          <w:iCs w:val="0"/>
          <w:sz w:val="20"/>
          <w:szCs w:val="18"/>
        </w:rPr>
        <w:t xml:space="preserve">, but these programs can serve as a conduit to other programs, supporting additional participation and savings. </w:t>
      </w:r>
    </w:p>
    <w:p w:rsidR="00143454" w:rsidRDefault="00143454" w:rsidP="00143454">
      <w:pPr>
        <w:pStyle w:val="ExhibitTitle"/>
      </w:pPr>
      <w:bookmarkStart w:id="133" w:name="_Ref514229089"/>
      <w:r>
        <w:t xml:space="preserve">Exhibit </w:t>
      </w:r>
      <w:bookmarkEnd w:id="133"/>
      <w:r w:rsidR="001E121C">
        <w:rPr>
          <w:noProof/>
        </w:rPr>
        <w:t>B-7</w:t>
      </w:r>
      <w:r>
        <w:t xml:space="preserve">: </w:t>
      </w:r>
      <w:r w:rsidR="0040511A">
        <w:t>Information and Energy Education Services</w:t>
      </w:r>
      <w:r>
        <w:t xml:space="preserve"> </w:t>
      </w:r>
    </w:p>
    <w:tbl>
      <w:tblPr>
        <w:tblW w:w="7805" w:type="dxa"/>
        <w:tblBorders>
          <w:bottom w:val="single" w:sz="4" w:space="0" w:color="auto"/>
          <w:insideH w:val="single" w:sz="4" w:space="0" w:color="auto"/>
        </w:tblBorders>
        <w:tblLook w:val="04A0"/>
      </w:tblPr>
      <w:tblGrid>
        <w:gridCol w:w="2785"/>
        <w:gridCol w:w="2520"/>
        <w:gridCol w:w="2500"/>
      </w:tblGrid>
      <w:tr w:rsidR="0040511A" w:rsidRPr="005D34DF" w:rsidTr="009E6E96">
        <w:trPr>
          <w:trHeight w:val="300"/>
        </w:trPr>
        <w:tc>
          <w:tcPr>
            <w:tcW w:w="2785" w:type="dxa"/>
            <w:shd w:val="clear" w:color="auto" w:fill="auto"/>
            <w:noWrap/>
            <w:hideMark/>
          </w:tcPr>
          <w:p w:rsidR="0040511A" w:rsidRPr="005D34DF" w:rsidRDefault="0040511A" w:rsidP="00DF6930">
            <w:pPr>
              <w:pStyle w:val="TableHeader"/>
            </w:pPr>
          </w:p>
        </w:tc>
        <w:tc>
          <w:tcPr>
            <w:tcW w:w="2520" w:type="dxa"/>
            <w:shd w:val="clear" w:color="auto" w:fill="auto"/>
            <w:noWrap/>
            <w:hideMark/>
          </w:tcPr>
          <w:p w:rsidR="0040511A" w:rsidRPr="0040511A" w:rsidRDefault="0040511A" w:rsidP="00DF6930">
            <w:pPr>
              <w:pStyle w:val="TableHeader"/>
              <w:jc w:val="center"/>
              <w:rPr>
                <w:rFonts w:ascii="Calibri" w:hAnsi="Calibri" w:cs="Calibri"/>
                <w:color w:val="000000"/>
                <w:sz w:val="22"/>
                <w:szCs w:val="22"/>
              </w:rPr>
            </w:pPr>
            <w:r w:rsidRPr="0040511A">
              <w:t>Business as Usual</w:t>
            </w:r>
          </w:p>
        </w:tc>
        <w:tc>
          <w:tcPr>
            <w:tcW w:w="2500" w:type="dxa"/>
            <w:shd w:val="clear" w:color="auto" w:fill="auto"/>
            <w:noWrap/>
            <w:hideMark/>
          </w:tcPr>
          <w:p w:rsidR="0040511A" w:rsidRPr="0040511A" w:rsidRDefault="0040511A" w:rsidP="00DF6930">
            <w:pPr>
              <w:pStyle w:val="TableHeader"/>
              <w:jc w:val="center"/>
              <w:rPr>
                <w:rFonts w:ascii="Calibri" w:hAnsi="Calibri" w:cs="Calibri"/>
                <w:color w:val="000000"/>
                <w:sz w:val="22"/>
                <w:szCs w:val="22"/>
              </w:rPr>
            </w:pPr>
            <w:r w:rsidRPr="0040511A">
              <w:t>Strategic Portfolio</w:t>
            </w:r>
          </w:p>
        </w:tc>
      </w:tr>
      <w:tr w:rsidR="0040511A" w:rsidRPr="005D34DF" w:rsidTr="009E6E96">
        <w:trPr>
          <w:trHeight w:val="300"/>
        </w:trPr>
        <w:tc>
          <w:tcPr>
            <w:tcW w:w="2785" w:type="dxa"/>
            <w:shd w:val="clear" w:color="auto" w:fill="auto"/>
            <w:noWrap/>
            <w:hideMark/>
          </w:tcPr>
          <w:p w:rsidR="0040511A" w:rsidRPr="005D34DF" w:rsidRDefault="0040511A" w:rsidP="00DF6930">
            <w:pPr>
              <w:pStyle w:val="TableData"/>
              <w:rPr>
                <w:rFonts w:ascii="Calibri" w:eastAsia="Times New Roman" w:hAnsi="Calibri" w:cs="Calibri"/>
                <w:color w:val="000000"/>
                <w:sz w:val="22"/>
                <w:szCs w:val="22"/>
              </w:rPr>
            </w:pPr>
            <w:r w:rsidRPr="001E68D4">
              <w:t xml:space="preserve">Annual </w:t>
            </w:r>
            <w:r w:rsidR="00BD1840">
              <w:t>s</w:t>
            </w:r>
            <w:r w:rsidRPr="001E68D4">
              <w:t>avings (MWh)</w:t>
            </w:r>
          </w:p>
        </w:tc>
        <w:tc>
          <w:tcPr>
            <w:tcW w:w="2520" w:type="dxa"/>
            <w:shd w:val="clear" w:color="auto" w:fill="auto"/>
            <w:noWrap/>
            <w:hideMark/>
          </w:tcPr>
          <w:p w:rsidR="0040511A" w:rsidRPr="005D34DF" w:rsidRDefault="0040511A" w:rsidP="00DF6930">
            <w:pPr>
              <w:pStyle w:val="TableData"/>
              <w:jc w:val="center"/>
              <w:rPr>
                <w:rFonts w:ascii="Calibri" w:eastAsia="Times New Roman" w:hAnsi="Calibri" w:cs="Calibri"/>
                <w:color w:val="000000"/>
                <w:sz w:val="22"/>
                <w:szCs w:val="22"/>
              </w:rPr>
            </w:pPr>
            <w:r w:rsidRPr="001E68D4">
              <w:t>882</w:t>
            </w:r>
          </w:p>
        </w:tc>
        <w:tc>
          <w:tcPr>
            <w:tcW w:w="2500" w:type="dxa"/>
            <w:shd w:val="clear" w:color="auto" w:fill="auto"/>
            <w:noWrap/>
            <w:hideMark/>
          </w:tcPr>
          <w:p w:rsidR="0040511A" w:rsidRPr="005D34DF" w:rsidRDefault="0040511A" w:rsidP="00DF6930">
            <w:pPr>
              <w:pStyle w:val="TableData"/>
              <w:jc w:val="center"/>
              <w:rPr>
                <w:rFonts w:ascii="Calibri" w:eastAsia="Times New Roman" w:hAnsi="Calibri" w:cs="Calibri"/>
                <w:color w:val="000000"/>
                <w:sz w:val="22"/>
                <w:szCs w:val="22"/>
              </w:rPr>
            </w:pPr>
            <w:r w:rsidRPr="001E68D4">
              <w:t>1,234</w:t>
            </w:r>
          </w:p>
        </w:tc>
      </w:tr>
      <w:tr w:rsidR="0040511A" w:rsidRPr="005D34DF" w:rsidTr="009E6E96">
        <w:trPr>
          <w:trHeight w:val="300"/>
        </w:trPr>
        <w:tc>
          <w:tcPr>
            <w:tcW w:w="2785" w:type="dxa"/>
            <w:shd w:val="clear" w:color="auto" w:fill="auto"/>
            <w:noWrap/>
            <w:hideMark/>
          </w:tcPr>
          <w:p w:rsidR="0040511A" w:rsidRPr="005D34DF" w:rsidRDefault="0040511A" w:rsidP="00DF6930">
            <w:pPr>
              <w:pStyle w:val="TableData"/>
              <w:rPr>
                <w:rFonts w:ascii="Calibri" w:eastAsia="Times New Roman" w:hAnsi="Calibri" w:cs="Calibri"/>
                <w:color w:val="000000"/>
                <w:sz w:val="22"/>
                <w:szCs w:val="22"/>
              </w:rPr>
            </w:pPr>
            <w:r w:rsidRPr="001E68D4">
              <w:t xml:space="preserve">Annual </w:t>
            </w:r>
            <w:r w:rsidR="00BD1840">
              <w:t>e</w:t>
            </w:r>
            <w:r w:rsidRPr="001E68D4">
              <w:t>xpenditure (</w:t>
            </w:r>
            <w:r w:rsidR="00C46F28">
              <w:t xml:space="preserve">in </w:t>
            </w:r>
            <w:r w:rsidR="006C387F">
              <w:t>thousands</w:t>
            </w:r>
            <w:r w:rsidRPr="001E68D4">
              <w:t>)</w:t>
            </w:r>
          </w:p>
        </w:tc>
        <w:tc>
          <w:tcPr>
            <w:tcW w:w="2520" w:type="dxa"/>
            <w:shd w:val="clear" w:color="auto" w:fill="auto"/>
            <w:noWrap/>
            <w:hideMark/>
          </w:tcPr>
          <w:p w:rsidR="0040511A" w:rsidRPr="005D34DF" w:rsidRDefault="0040511A" w:rsidP="00DF6930">
            <w:pPr>
              <w:pStyle w:val="TableData"/>
              <w:jc w:val="center"/>
              <w:rPr>
                <w:rFonts w:ascii="Calibri" w:eastAsia="Times New Roman" w:hAnsi="Calibri" w:cs="Calibri"/>
                <w:color w:val="000000"/>
                <w:sz w:val="22"/>
                <w:szCs w:val="22"/>
              </w:rPr>
            </w:pPr>
            <w:r w:rsidRPr="001E68D4">
              <w:t>$232</w:t>
            </w:r>
          </w:p>
        </w:tc>
        <w:tc>
          <w:tcPr>
            <w:tcW w:w="2500" w:type="dxa"/>
            <w:shd w:val="clear" w:color="auto" w:fill="auto"/>
            <w:noWrap/>
            <w:hideMark/>
          </w:tcPr>
          <w:p w:rsidR="0040511A" w:rsidRPr="005D34DF" w:rsidRDefault="0040511A" w:rsidP="00DF6930">
            <w:pPr>
              <w:pStyle w:val="TableData"/>
              <w:jc w:val="center"/>
              <w:rPr>
                <w:rFonts w:ascii="Calibri" w:eastAsia="Times New Roman" w:hAnsi="Calibri" w:cs="Calibri"/>
                <w:color w:val="000000"/>
                <w:sz w:val="22"/>
                <w:szCs w:val="22"/>
              </w:rPr>
            </w:pPr>
            <w:r w:rsidRPr="001E68D4">
              <w:t>$301</w:t>
            </w:r>
          </w:p>
        </w:tc>
      </w:tr>
      <w:tr w:rsidR="0040511A" w:rsidRPr="005D34DF" w:rsidTr="009E6E96">
        <w:trPr>
          <w:trHeight w:val="300"/>
        </w:trPr>
        <w:tc>
          <w:tcPr>
            <w:tcW w:w="2785" w:type="dxa"/>
            <w:shd w:val="clear" w:color="auto" w:fill="auto"/>
            <w:noWrap/>
            <w:hideMark/>
          </w:tcPr>
          <w:p w:rsidR="0040511A" w:rsidRPr="00DF6930" w:rsidRDefault="0040511A" w:rsidP="00DF6930">
            <w:pPr>
              <w:pStyle w:val="TableData"/>
            </w:pPr>
            <w:r w:rsidRPr="00DF6930">
              <w:t xml:space="preserve">Cost of </w:t>
            </w:r>
            <w:r w:rsidR="00BD1840">
              <w:t>c</w:t>
            </w:r>
            <w:r w:rsidRPr="00DF6930">
              <w:t xml:space="preserve">onserved </w:t>
            </w:r>
            <w:r w:rsidR="00BD1840">
              <w:t>e</w:t>
            </w:r>
            <w:r w:rsidRPr="00DF6930">
              <w:t>nergy</w:t>
            </w:r>
          </w:p>
        </w:tc>
        <w:tc>
          <w:tcPr>
            <w:tcW w:w="2520" w:type="dxa"/>
            <w:shd w:val="clear" w:color="auto" w:fill="auto"/>
            <w:noWrap/>
            <w:vAlign w:val="bottom"/>
            <w:hideMark/>
          </w:tcPr>
          <w:p w:rsidR="0040511A" w:rsidRPr="00DF6930" w:rsidRDefault="0040511A" w:rsidP="00DF6930">
            <w:pPr>
              <w:pStyle w:val="TableData"/>
              <w:jc w:val="center"/>
            </w:pPr>
            <w:r w:rsidRPr="00DF6930">
              <w:t>$0.0540</w:t>
            </w:r>
          </w:p>
        </w:tc>
        <w:tc>
          <w:tcPr>
            <w:tcW w:w="2500" w:type="dxa"/>
            <w:shd w:val="clear" w:color="auto" w:fill="auto"/>
            <w:noWrap/>
            <w:vAlign w:val="bottom"/>
            <w:hideMark/>
          </w:tcPr>
          <w:p w:rsidR="0040511A" w:rsidRPr="00DF6930" w:rsidRDefault="0040511A" w:rsidP="00DF6930">
            <w:pPr>
              <w:pStyle w:val="TableData"/>
              <w:jc w:val="center"/>
            </w:pPr>
            <w:r w:rsidRPr="00DF6930">
              <w:t>$0.0501</w:t>
            </w:r>
          </w:p>
        </w:tc>
      </w:tr>
    </w:tbl>
    <w:p w:rsidR="00143454" w:rsidRDefault="00143454" w:rsidP="00143454">
      <w:pPr>
        <w:pStyle w:val="ExhibitSource"/>
      </w:pPr>
      <w:r>
        <w:t>Source: Public Sector Consultants analysis.</w:t>
      </w:r>
    </w:p>
    <w:p w:rsidR="00050974" w:rsidRDefault="00050974" w:rsidP="00050974">
      <w:pPr>
        <w:pStyle w:val="Heading2"/>
      </w:pPr>
      <w:bookmarkStart w:id="134" w:name="_Toc533742688"/>
      <w:r>
        <w:t>Commercial and Industrial Program</w:t>
      </w:r>
      <w:r w:rsidR="003346F8">
        <w:t>s</w:t>
      </w:r>
      <w:bookmarkEnd w:id="134"/>
    </w:p>
    <w:p w:rsidR="00BF090A" w:rsidRDefault="00BF090A" w:rsidP="00BF090A">
      <w:pPr>
        <w:pStyle w:val="BodyText"/>
      </w:pPr>
      <w:r>
        <w:t>A comprehensive energy</w:t>
      </w:r>
      <w:r w:rsidR="00C46F28">
        <w:t>-</w:t>
      </w:r>
      <w:r>
        <w:t>efficiency portfolio</w:t>
      </w:r>
      <w:r w:rsidR="00FE4B99">
        <w:t xml:space="preserve"> for commercial and industrial customers</w:t>
      </w:r>
      <w:r>
        <w:t xml:space="preserve"> would include the following elements: </w:t>
      </w:r>
    </w:p>
    <w:p w:rsidR="00AA28A1" w:rsidRDefault="00BF090A" w:rsidP="00BF090A">
      <w:pPr>
        <w:pStyle w:val="ListBullet"/>
      </w:pPr>
      <w:r>
        <w:t>Program</w:t>
      </w:r>
      <w:r w:rsidR="006E5B0F">
        <w:t>(s)</w:t>
      </w:r>
      <w:r>
        <w:t xml:space="preserve"> targeted to small business</w:t>
      </w:r>
      <w:r w:rsidR="0044653F">
        <w:t>es</w:t>
      </w:r>
      <w:r>
        <w:t xml:space="preserve"> that </w:t>
      </w:r>
      <w:r w:rsidR="00AA28A1">
        <w:t>address the particular barriers fa</w:t>
      </w:r>
      <w:r w:rsidR="003346F8">
        <w:t>cing</w:t>
      </w:r>
      <w:r w:rsidR="00AA28A1">
        <w:t xml:space="preserve"> these entities</w:t>
      </w:r>
    </w:p>
    <w:p w:rsidR="00AA28A1" w:rsidRDefault="00AA28A1" w:rsidP="00BF090A">
      <w:pPr>
        <w:pStyle w:val="ListBullet"/>
      </w:pPr>
      <w:r>
        <w:t xml:space="preserve">Prescriptive rebates for EWR measures that have wide </w:t>
      </w:r>
      <w:r w:rsidR="003346F8">
        <w:t>applicability</w:t>
      </w:r>
    </w:p>
    <w:p w:rsidR="00AA28A1" w:rsidRDefault="00AA28A1" w:rsidP="00BF090A">
      <w:pPr>
        <w:pStyle w:val="ListBullet"/>
      </w:pPr>
      <w:r>
        <w:t>Custom rebates for unique applications of EWR technologies specific to business facilities, processes, and energy use characteristics</w:t>
      </w:r>
    </w:p>
    <w:p w:rsidR="00AA28A1" w:rsidRDefault="00AA28A1" w:rsidP="00BF090A">
      <w:pPr>
        <w:pStyle w:val="ListBullet"/>
      </w:pPr>
      <w:r>
        <w:t xml:space="preserve">Strategic energy planning that engages the largest customers in long-term planning for EWR investments. </w:t>
      </w:r>
    </w:p>
    <w:p w:rsidR="00FE4B99" w:rsidRDefault="00FE4B99" w:rsidP="00FE4B99">
      <w:pPr>
        <w:pStyle w:val="BodyText"/>
      </w:pPr>
      <w:r>
        <w:t xml:space="preserve">Both the </w:t>
      </w:r>
      <w:r w:rsidR="000C2127">
        <w:t>Efficiency UNITED</w:t>
      </w:r>
      <w:r>
        <w:t xml:space="preserve"> and </w:t>
      </w:r>
      <w:r w:rsidR="00B772DA">
        <w:t xml:space="preserve">the </w:t>
      </w:r>
      <w:r>
        <w:t xml:space="preserve">MECA </w:t>
      </w:r>
      <w:r w:rsidR="00B772DA">
        <w:t>C</w:t>
      </w:r>
      <w:r>
        <w:t>ollaborative programs include prescriptive and custom rebates for commercial and industrial customer</w:t>
      </w:r>
      <w:r w:rsidR="003346F8">
        <w:t>s,</w:t>
      </w:r>
      <w:r>
        <w:t xml:space="preserve"> and these programs contribute the largest savings for both program </w:t>
      </w:r>
      <w:r w:rsidR="00B16B28">
        <w:t>implementer</w:t>
      </w:r>
      <w:r>
        <w:t>s (</w:t>
      </w:r>
      <w:r w:rsidR="00DC4EAF">
        <w:t>55 percent</w:t>
      </w:r>
      <w:r>
        <w:t xml:space="preserve">). </w:t>
      </w:r>
      <w:r w:rsidR="002B2390">
        <w:t xml:space="preserve">An enhanced program portfolio would include </w:t>
      </w:r>
      <w:r w:rsidR="002D339D">
        <w:t>existing elements as well as features t</w:t>
      </w:r>
      <w:r w:rsidR="002B2390">
        <w:t xml:space="preserve">argeted to the needs of the smallest and largest business customers. </w:t>
      </w:r>
    </w:p>
    <w:p w:rsidR="00050974" w:rsidRDefault="00370D51" w:rsidP="00AA28A1">
      <w:pPr>
        <w:pStyle w:val="BodyText"/>
      </w:pPr>
      <w:fldSimple w:instr=" REF _Ref513461174 \h  \* MERGEFORMAT ">
        <w:r w:rsidR="00E23693">
          <w:t xml:space="preserve">Exhibit </w:t>
        </w:r>
        <w:r w:rsidR="001E121C">
          <w:rPr>
            <w:noProof/>
          </w:rPr>
          <w:t>B-8</w:t>
        </w:r>
      </w:fldSimple>
      <w:r w:rsidR="00050974">
        <w:t xml:space="preserve"> show</w:t>
      </w:r>
      <w:r w:rsidR="003D0525">
        <w:t>s</w:t>
      </w:r>
      <w:r w:rsidR="00050974">
        <w:t xml:space="preserve"> which </w:t>
      </w:r>
      <w:r w:rsidR="00AA28A1">
        <w:t xml:space="preserve">portfolio-level </w:t>
      </w:r>
      <w:r w:rsidR="00050974">
        <w:t>strategies are applicable for each program type.</w:t>
      </w:r>
    </w:p>
    <w:p w:rsidR="00050974" w:rsidRDefault="00050974" w:rsidP="00050974">
      <w:pPr>
        <w:pStyle w:val="ExhibitTitle"/>
      </w:pPr>
      <w:bookmarkStart w:id="135" w:name="_Ref513461174"/>
      <w:r>
        <w:t xml:space="preserve">Exhibit </w:t>
      </w:r>
      <w:bookmarkEnd w:id="135"/>
      <w:r w:rsidR="001E121C">
        <w:rPr>
          <w:noProof/>
        </w:rPr>
        <w:t>B-8</w:t>
      </w:r>
      <w:r>
        <w:t>: Commercial and Industrial Program Strategies</w:t>
      </w:r>
    </w:p>
    <w:tbl>
      <w:tblPr>
        <w:tblW w:w="9170" w:type="dxa"/>
        <w:tblCellMar>
          <w:left w:w="0" w:type="dxa"/>
          <w:right w:w="0" w:type="dxa"/>
        </w:tblCellMar>
        <w:tblLook w:val="0420"/>
      </w:tblPr>
      <w:tblGrid>
        <w:gridCol w:w="2228"/>
        <w:gridCol w:w="1454"/>
        <w:gridCol w:w="1454"/>
        <w:gridCol w:w="1456"/>
        <w:gridCol w:w="1459"/>
        <w:gridCol w:w="1119"/>
      </w:tblGrid>
      <w:tr w:rsidR="00050974" w:rsidRPr="00231569" w:rsidTr="00BF2912">
        <w:tc>
          <w:tcPr>
            <w:tcW w:w="2228" w:type="dxa"/>
            <w:tcBorders>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bottom"/>
            <w:hideMark/>
          </w:tcPr>
          <w:p w:rsidR="00050974" w:rsidRPr="00231569" w:rsidRDefault="00050974" w:rsidP="00381641">
            <w:pPr>
              <w:pStyle w:val="TableData"/>
              <w:rPr>
                <w:b/>
              </w:rPr>
            </w:pPr>
            <w:r w:rsidRPr="00231569">
              <w:rPr>
                <w:b/>
              </w:rPr>
              <w:t>Program Areas</w:t>
            </w:r>
          </w:p>
        </w:tc>
        <w:tc>
          <w:tcPr>
            <w:tcW w:w="1454" w:type="dxa"/>
            <w:tcBorders>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bottom"/>
            <w:hideMark/>
          </w:tcPr>
          <w:p w:rsidR="00050974" w:rsidRPr="00231569" w:rsidRDefault="00050974" w:rsidP="00381641">
            <w:pPr>
              <w:pStyle w:val="TableData"/>
              <w:jc w:val="center"/>
              <w:rPr>
                <w:b/>
              </w:rPr>
            </w:pPr>
            <w:r w:rsidRPr="00231569">
              <w:rPr>
                <w:b/>
              </w:rPr>
              <w:t>Consistent Program Design</w:t>
            </w:r>
          </w:p>
        </w:tc>
        <w:tc>
          <w:tcPr>
            <w:tcW w:w="1454" w:type="dxa"/>
            <w:tcBorders>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bottom"/>
            <w:hideMark/>
          </w:tcPr>
          <w:p w:rsidR="00050974" w:rsidRPr="00231569" w:rsidRDefault="00050974" w:rsidP="00381641">
            <w:pPr>
              <w:pStyle w:val="TableData"/>
              <w:jc w:val="center"/>
              <w:rPr>
                <w:b/>
              </w:rPr>
            </w:pPr>
            <w:r w:rsidRPr="00231569">
              <w:rPr>
                <w:b/>
              </w:rPr>
              <w:t>U.P.</w:t>
            </w:r>
            <w:r w:rsidR="002825E7">
              <w:rPr>
                <w:b/>
              </w:rPr>
              <w:t>-f</w:t>
            </w:r>
            <w:r w:rsidRPr="00231569">
              <w:rPr>
                <w:b/>
              </w:rPr>
              <w:t xml:space="preserve">ocused Trade Ally </w:t>
            </w:r>
            <w:r w:rsidRPr="00231569">
              <w:rPr>
                <w:b/>
              </w:rPr>
              <w:lastRenderedPageBreak/>
              <w:t>Network</w:t>
            </w:r>
          </w:p>
        </w:tc>
        <w:tc>
          <w:tcPr>
            <w:tcW w:w="1456" w:type="dxa"/>
            <w:tcBorders>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bottom"/>
            <w:hideMark/>
          </w:tcPr>
          <w:p w:rsidR="00050974" w:rsidRPr="00231569" w:rsidRDefault="00050974" w:rsidP="00381641">
            <w:pPr>
              <w:pStyle w:val="TableData"/>
              <w:jc w:val="center"/>
              <w:rPr>
                <w:b/>
              </w:rPr>
            </w:pPr>
            <w:r w:rsidRPr="00231569">
              <w:rPr>
                <w:b/>
              </w:rPr>
              <w:lastRenderedPageBreak/>
              <w:t>Strategic Purchasing</w:t>
            </w:r>
          </w:p>
        </w:tc>
        <w:tc>
          <w:tcPr>
            <w:tcW w:w="1459" w:type="dxa"/>
            <w:tcBorders>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bottom"/>
            <w:hideMark/>
          </w:tcPr>
          <w:p w:rsidR="00050974" w:rsidRPr="00231569" w:rsidRDefault="00050974" w:rsidP="00381641">
            <w:pPr>
              <w:pStyle w:val="TableData"/>
              <w:jc w:val="center"/>
              <w:rPr>
                <w:b/>
              </w:rPr>
            </w:pPr>
            <w:r w:rsidRPr="00231569">
              <w:rPr>
                <w:b/>
              </w:rPr>
              <w:t>Centralized Administration</w:t>
            </w:r>
          </w:p>
        </w:tc>
        <w:tc>
          <w:tcPr>
            <w:tcW w:w="1119" w:type="dxa"/>
            <w:tcBorders>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bottom"/>
            <w:hideMark/>
          </w:tcPr>
          <w:p w:rsidR="00050974" w:rsidRPr="00231569" w:rsidRDefault="00050974" w:rsidP="00381641">
            <w:pPr>
              <w:pStyle w:val="TableData"/>
              <w:jc w:val="center"/>
              <w:rPr>
                <w:b/>
              </w:rPr>
            </w:pPr>
            <w:r w:rsidRPr="00231569">
              <w:rPr>
                <w:b/>
              </w:rPr>
              <w:t>Leveraged Investment</w:t>
            </w:r>
          </w:p>
        </w:tc>
      </w:tr>
      <w:tr w:rsidR="00050974" w:rsidRPr="00231569" w:rsidTr="00BF2912">
        <w:tc>
          <w:tcPr>
            <w:tcW w:w="2228" w:type="dxa"/>
            <w:tcBorders>
              <w:top w:val="single" w:sz="8" w:space="0" w:color="655B58"/>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center"/>
            <w:hideMark/>
          </w:tcPr>
          <w:p w:rsidR="00050974" w:rsidRPr="00231569" w:rsidRDefault="00050974" w:rsidP="00381641">
            <w:pPr>
              <w:pStyle w:val="TableData"/>
            </w:pPr>
            <w:r w:rsidRPr="00231569">
              <w:lastRenderedPageBreak/>
              <w:t>Small</w:t>
            </w:r>
            <w:r w:rsidR="002825E7">
              <w:t>-</w:t>
            </w:r>
            <w:r w:rsidRPr="00231569">
              <w:t>business direct installation</w:t>
            </w:r>
          </w:p>
        </w:tc>
        <w:tc>
          <w:tcPr>
            <w:tcW w:w="1454" w:type="dxa"/>
            <w:tcBorders>
              <w:top w:val="single" w:sz="8" w:space="0" w:color="655B58"/>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center"/>
            <w:hideMark/>
          </w:tcPr>
          <w:p w:rsidR="00050974" w:rsidRPr="00231569" w:rsidRDefault="00050974" w:rsidP="00381641">
            <w:pPr>
              <w:pStyle w:val="TableData"/>
              <w:jc w:val="center"/>
              <w:rPr>
                <w:sz w:val="22"/>
              </w:rPr>
            </w:pPr>
            <w:r w:rsidRPr="00231569">
              <w:rPr>
                <w:sz w:val="22"/>
              </w:rPr>
              <w:t>√</w:t>
            </w:r>
          </w:p>
        </w:tc>
        <w:tc>
          <w:tcPr>
            <w:tcW w:w="1454" w:type="dxa"/>
            <w:tcBorders>
              <w:top w:val="single" w:sz="8" w:space="0" w:color="655B58"/>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center"/>
            <w:hideMark/>
          </w:tcPr>
          <w:p w:rsidR="00050974" w:rsidRPr="00231569" w:rsidRDefault="00050974" w:rsidP="00381641">
            <w:pPr>
              <w:pStyle w:val="TableData"/>
              <w:jc w:val="center"/>
              <w:rPr>
                <w:sz w:val="22"/>
              </w:rPr>
            </w:pPr>
          </w:p>
        </w:tc>
        <w:tc>
          <w:tcPr>
            <w:tcW w:w="1456" w:type="dxa"/>
            <w:tcBorders>
              <w:top w:val="single" w:sz="8" w:space="0" w:color="655B58"/>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center"/>
            <w:hideMark/>
          </w:tcPr>
          <w:p w:rsidR="00050974" w:rsidRPr="00231569" w:rsidRDefault="00050974" w:rsidP="00381641">
            <w:pPr>
              <w:pStyle w:val="TableData"/>
              <w:jc w:val="center"/>
              <w:rPr>
                <w:sz w:val="22"/>
              </w:rPr>
            </w:pPr>
            <w:r w:rsidRPr="00231569">
              <w:rPr>
                <w:sz w:val="22"/>
              </w:rPr>
              <w:t>√</w:t>
            </w:r>
          </w:p>
        </w:tc>
        <w:tc>
          <w:tcPr>
            <w:tcW w:w="1459" w:type="dxa"/>
            <w:tcBorders>
              <w:top w:val="single" w:sz="8" w:space="0" w:color="655B58"/>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center"/>
            <w:hideMark/>
          </w:tcPr>
          <w:p w:rsidR="00050974" w:rsidRPr="00231569" w:rsidRDefault="00050974" w:rsidP="00381641">
            <w:pPr>
              <w:pStyle w:val="TableData"/>
              <w:jc w:val="center"/>
              <w:rPr>
                <w:sz w:val="22"/>
              </w:rPr>
            </w:pPr>
            <w:r w:rsidRPr="00231569">
              <w:rPr>
                <w:sz w:val="22"/>
              </w:rPr>
              <w:t>√</w:t>
            </w:r>
          </w:p>
        </w:tc>
        <w:tc>
          <w:tcPr>
            <w:tcW w:w="1119" w:type="dxa"/>
            <w:tcBorders>
              <w:top w:val="single" w:sz="8" w:space="0" w:color="655B58"/>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center"/>
            <w:hideMark/>
          </w:tcPr>
          <w:p w:rsidR="00050974" w:rsidRPr="00231569" w:rsidRDefault="00050974" w:rsidP="00381641">
            <w:pPr>
              <w:pStyle w:val="TableData"/>
              <w:jc w:val="center"/>
              <w:rPr>
                <w:sz w:val="22"/>
              </w:rPr>
            </w:pPr>
            <w:r w:rsidRPr="00231569">
              <w:rPr>
                <w:sz w:val="22"/>
              </w:rPr>
              <w:t>√</w:t>
            </w:r>
          </w:p>
        </w:tc>
      </w:tr>
      <w:tr w:rsidR="00050974" w:rsidRPr="00231569" w:rsidTr="00BF2912">
        <w:tc>
          <w:tcPr>
            <w:tcW w:w="2228" w:type="dxa"/>
            <w:tcBorders>
              <w:top w:val="single" w:sz="8" w:space="0" w:color="655B58"/>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center"/>
            <w:hideMark/>
          </w:tcPr>
          <w:p w:rsidR="00050974" w:rsidRPr="00231569" w:rsidRDefault="00050974" w:rsidP="00381641">
            <w:pPr>
              <w:pStyle w:val="TableData"/>
            </w:pPr>
            <w:r w:rsidRPr="00231569">
              <w:t>Prescriptive rebates</w:t>
            </w:r>
          </w:p>
        </w:tc>
        <w:tc>
          <w:tcPr>
            <w:tcW w:w="1454" w:type="dxa"/>
            <w:tcBorders>
              <w:top w:val="single" w:sz="8" w:space="0" w:color="655B58"/>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center"/>
            <w:hideMark/>
          </w:tcPr>
          <w:p w:rsidR="00050974" w:rsidRPr="00231569" w:rsidRDefault="00050974" w:rsidP="00381641">
            <w:pPr>
              <w:pStyle w:val="TableData"/>
              <w:jc w:val="center"/>
              <w:rPr>
                <w:sz w:val="22"/>
              </w:rPr>
            </w:pPr>
            <w:r w:rsidRPr="00231569">
              <w:rPr>
                <w:sz w:val="22"/>
              </w:rPr>
              <w:t>√</w:t>
            </w:r>
          </w:p>
        </w:tc>
        <w:tc>
          <w:tcPr>
            <w:tcW w:w="1454" w:type="dxa"/>
            <w:tcBorders>
              <w:top w:val="single" w:sz="8" w:space="0" w:color="655B58"/>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center"/>
            <w:hideMark/>
          </w:tcPr>
          <w:p w:rsidR="00050974" w:rsidRPr="00231569" w:rsidRDefault="00050974" w:rsidP="00381641">
            <w:pPr>
              <w:pStyle w:val="TableData"/>
              <w:jc w:val="center"/>
              <w:rPr>
                <w:sz w:val="22"/>
              </w:rPr>
            </w:pPr>
            <w:r w:rsidRPr="00231569">
              <w:rPr>
                <w:sz w:val="22"/>
              </w:rPr>
              <w:t>√</w:t>
            </w:r>
          </w:p>
        </w:tc>
        <w:tc>
          <w:tcPr>
            <w:tcW w:w="1456" w:type="dxa"/>
            <w:tcBorders>
              <w:top w:val="single" w:sz="8" w:space="0" w:color="655B58"/>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center"/>
            <w:hideMark/>
          </w:tcPr>
          <w:p w:rsidR="00050974" w:rsidRPr="00231569" w:rsidRDefault="00050974" w:rsidP="00381641">
            <w:pPr>
              <w:pStyle w:val="TableData"/>
              <w:jc w:val="center"/>
              <w:rPr>
                <w:sz w:val="22"/>
              </w:rPr>
            </w:pPr>
            <w:r w:rsidRPr="00231569">
              <w:rPr>
                <w:sz w:val="22"/>
              </w:rPr>
              <w:t>√</w:t>
            </w:r>
          </w:p>
        </w:tc>
        <w:tc>
          <w:tcPr>
            <w:tcW w:w="1459" w:type="dxa"/>
            <w:tcBorders>
              <w:top w:val="single" w:sz="8" w:space="0" w:color="655B58"/>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center"/>
            <w:hideMark/>
          </w:tcPr>
          <w:p w:rsidR="00050974" w:rsidRPr="00231569" w:rsidRDefault="00050974" w:rsidP="00381641">
            <w:pPr>
              <w:pStyle w:val="TableData"/>
              <w:jc w:val="center"/>
              <w:rPr>
                <w:sz w:val="22"/>
              </w:rPr>
            </w:pPr>
            <w:r w:rsidRPr="00231569">
              <w:rPr>
                <w:sz w:val="22"/>
              </w:rPr>
              <w:t>√</w:t>
            </w:r>
          </w:p>
        </w:tc>
        <w:tc>
          <w:tcPr>
            <w:tcW w:w="1119" w:type="dxa"/>
            <w:tcBorders>
              <w:top w:val="single" w:sz="8" w:space="0" w:color="655B58"/>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center"/>
            <w:hideMark/>
          </w:tcPr>
          <w:p w:rsidR="00050974" w:rsidRPr="00231569" w:rsidRDefault="00050974" w:rsidP="00381641">
            <w:pPr>
              <w:pStyle w:val="TableData"/>
              <w:jc w:val="center"/>
              <w:rPr>
                <w:sz w:val="22"/>
              </w:rPr>
            </w:pPr>
          </w:p>
        </w:tc>
      </w:tr>
      <w:tr w:rsidR="00050974" w:rsidRPr="00231569" w:rsidTr="00BF2912">
        <w:tc>
          <w:tcPr>
            <w:tcW w:w="2228" w:type="dxa"/>
            <w:tcBorders>
              <w:top w:val="single" w:sz="8" w:space="0" w:color="655B58"/>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center"/>
            <w:hideMark/>
          </w:tcPr>
          <w:p w:rsidR="00050974" w:rsidRPr="00231569" w:rsidRDefault="00050974" w:rsidP="00381641">
            <w:pPr>
              <w:pStyle w:val="TableData"/>
            </w:pPr>
            <w:r w:rsidRPr="00231569">
              <w:t>Custom rebates</w:t>
            </w:r>
          </w:p>
        </w:tc>
        <w:tc>
          <w:tcPr>
            <w:tcW w:w="1454" w:type="dxa"/>
            <w:tcBorders>
              <w:top w:val="single" w:sz="8" w:space="0" w:color="655B58"/>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center"/>
            <w:hideMark/>
          </w:tcPr>
          <w:p w:rsidR="00050974" w:rsidRPr="00231569" w:rsidRDefault="00050974" w:rsidP="00381641">
            <w:pPr>
              <w:pStyle w:val="TableData"/>
              <w:jc w:val="center"/>
              <w:rPr>
                <w:sz w:val="22"/>
              </w:rPr>
            </w:pPr>
          </w:p>
        </w:tc>
        <w:tc>
          <w:tcPr>
            <w:tcW w:w="1454" w:type="dxa"/>
            <w:tcBorders>
              <w:top w:val="single" w:sz="8" w:space="0" w:color="655B58"/>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center"/>
            <w:hideMark/>
          </w:tcPr>
          <w:p w:rsidR="00050974" w:rsidRPr="00231569" w:rsidRDefault="00050974" w:rsidP="00381641">
            <w:pPr>
              <w:pStyle w:val="TableData"/>
              <w:jc w:val="center"/>
              <w:rPr>
                <w:sz w:val="22"/>
              </w:rPr>
            </w:pPr>
            <w:r w:rsidRPr="00231569">
              <w:rPr>
                <w:sz w:val="22"/>
              </w:rPr>
              <w:t>√</w:t>
            </w:r>
          </w:p>
        </w:tc>
        <w:tc>
          <w:tcPr>
            <w:tcW w:w="1456" w:type="dxa"/>
            <w:tcBorders>
              <w:top w:val="single" w:sz="8" w:space="0" w:color="655B58"/>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center"/>
            <w:hideMark/>
          </w:tcPr>
          <w:p w:rsidR="00050974" w:rsidRPr="00231569" w:rsidRDefault="00050974" w:rsidP="00381641">
            <w:pPr>
              <w:pStyle w:val="TableData"/>
              <w:jc w:val="center"/>
              <w:rPr>
                <w:sz w:val="22"/>
              </w:rPr>
            </w:pPr>
          </w:p>
        </w:tc>
        <w:tc>
          <w:tcPr>
            <w:tcW w:w="1459" w:type="dxa"/>
            <w:tcBorders>
              <w:top w:val="single" w:sz="8" w:space="0" w:color="655B58"/>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center"/>
            <w:hideMark/>
          </w:tcPr>
          <w:p w:rsidR="00050974" w:rsidRPr="00231569" w:rsidRDefault="00822DEC" w:rsidP="00381641">
            <w:pPr>
              <w:pStyle w:val="TableData"/>
              <w:jc w:val="center"/>
              <w:rPr>
                <w:sz w:val="22"/>
              </w:rPr>
            </w:pPr>
            <w:r w:rsidRPr="00231569">
              <w:rPr>
                <w:sz w:val="22"/>
              </w:rPr>
              <w:t>√</w:t>
            </w:r>
          </w:p>
        </w:tc>
        <w:tc>
          <w:tcPr>
            <w:tcW w:w="1119" w:type="dxa"/>
            <w:tcBorders>
              <w:top w:val="single" w:sz="8" w:space="0" w:color="655B58"/>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center"/>
            <w:hideMark/>
          </w:tcPr>
          <w:p w:rsidR="00050974" w:rsidRPr="00231569" w:rsidRDefault="00050974" w:rsidP="00381641">
            <w:pPr>
              <w:pStyle w:val="TableData"/>
              <w:jc w:val="center"/>
              <w:rPr>
                <w:sz w:val="22"/>
              </w:rPr>
            </w:pPr>
            <w:r w:rsidRPr="00231569">
              <w:rPr>
                <w:sz w:val="22"/>
              </w:rPr>
              <w:t>√</w:t>
            </w:r>
          </w:p>
        </w:tc>
      </w:tr>
      <w:tr w:rsidR="00050974" w:rsidRPr="00231569" w:rsidTr="00BF2912">
        <w:tc>
          <w:tcPr>
            <w:tcW w:w="2228" w:type="dxa"/>
            <w:tcBorders>
              <w:top w:val="single" w:sz="8" w:space="0" w:color="655B58"/>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center"/>
            <w:hideMark/>
          </w:tcPr>
          <w:p w:rsidR="00050974" w:rsidRPr="00231569" w:rsidRDefault="00050974" w:rsidP="00381641">
            <w:pPr>
              <w:pStyle w:val="TableData"/>
            </w:pPr>
            <w:r w:rsidRPr="00231569">
              <w:t>Strategic energy management</w:t>
            </w:r>
          </w:p>
        </w:tc>
        <w:tc>
          <w:tcPr>
            <w:tcW w:w="1454" w:type="dxa"/>
            <w:tcBorders>
              <w:top w:val="single" w:sz="8" w:space="0" w:color="655B58"/>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center"/>
            <w:hideMark/>
          </w:tcPr>
          <w:p w:rsidR="00050974" w:rsidRPr="00231569" w:rsidRDefault="00050974" w:rsidP="00381641">
            <w:pPr>
              <w:pStyle w:val="TableData"/>
              <w:jc w:val="center"/>
              <w:rPr>
                <w:sz w:val="22"/>
              </w:rPr>
            </w:pPr>
            <w:r w:rsidRPr="00231569">
              <w:rPr>
                <w:sz w:val="22"/>
              </w:rPr>
              <w:t>√</w:t>
            </w:r>
          </w:p>
        </w:tc>
        <w:tc>
          <w:tcPr>
            <w:tcW w:w="1454" w:type="dxa"/>
            <w:tcBorders>
              <w:top w:val="single" w:sz="8" w:space="0" w:color="655B58"/>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center"/>
            <w:hideMark/>
          </w:tcPr>
          <w:p w:rsidR="00050974" w:rsidRPr="00231569" w:rsidRDefault="00050974" w:rsidP="00381641">
            <w:pPr>
              <w:pStyle w:val="TableData"/>
              <w:jc w:val="center"/>
              <w:rPr>
                <w:sz w:val="22"/>
              </w:rPr>
            </w:pPr>
            <w:r w:rsidRPr="00231569">
              <w:rPr>
                <w:sz w:val="22"/>
              </w:rPr>
              <w:t>√</w:t>
            </w:r>
          </w:p>
        </w:tc>
        <w:tc>
          <w:tcPr>
            <w:tcW w:w="1456" w:type="dxa"/>
            <w:tcBorders>
              <w:top w:val="single" w:sz="8" w:space="0" w:color="655B58"/>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center"/>
            <w:hideMark/>
          </w:tcPr>
          <w:p w:rsidR="00050974" w:rsidRPr="00231569" w:rsidRDefault="00050974" w:rsidP="00381641">
            <w:pPr>
              <w:pStyle w:val="TableData"/>
              <w:jc w:val="center"/>
              <w:rPr>
                <w:sz w:val="22"/>
              </w:rPr>
            </w:pPr>
          </w:p>
        </w:tc>
        <w:tc>
          <w:tcPr>
            <w:tcW w:w="1459" w:type="dxa"/>
            <w:tcBorders>
              <w:top w:val="single" w:sz="8" w:space="0" w:color="655B58"/>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center"/>
            <w:hideMark/>
          </w:tcPr>
          <w:p w:rsidR="00050974" w:rsidRPr="00231569" w:rsidRDefault="00050974" w:rsidP="00381641">
            <w:pPr>
              <w:pStyle w:val="TableData"/>
              <w:jc w:val="center"/>
              <w:rPr>
                <w:sz w:val="22"/>
              </w:rPr>
            </w:pPr>
            <w:r w:rsidRPr="00231569">
              <w:rPr>
                <w:sz w:val="22"/>
              </w:rPr>
              <w:t>√</w:t>
            </w:r>
          </w:p>
        </w:tc>
        <w:tc>
          <w:tcPr>
            <w:tcW w:w="1119" w:type="dxa"/>
            <w:tcBorders>
              <w:top w:val="single" w:sz="8" w:space="0" w:color="655B58"/>
              <w:left w:val="single" w:sz="8" w:space="0" w:color="FFFFFF"/>
              <w:bottom w:val="single" w:sz="8" w:space="0" w:color="655B58"/>
              <w:right w:val="single" w:sz="8" w:space="0" w:color="FFFFFF"/>
            </w:tcBorders>
            <w:shd w:val="clear" w:color="auto" w:fill="auto"/>
            <w:tcMar>
              <w:top w:w="15" w:type="dxa"/>
              <w:left w:w="115" w:type="dxa"/>
              <w:bottom w:w="0" w:type="dxa"/>
              <w:right w:w="115" w:type="dxa"/>
            </w:tcMar>
            <w:vAlign w:val="center"/>
            <w:hideMark/>
          </w:tcPr>
          <w:p w:rsidR="00050974" w:rsidRPr="00231569" w:rsidRDefault="00050974" w:rsidP="00381641">
            <w:pPr>
              <w:pStyle w:val="TableData"/>
              <w:jc w:val="center"/>
              <w:rPr>
                <w:sz w:val="22"/>
              </w:rPr>
            </w:pPr>
          </w:p>
        </w:tc>
      </w:tr>
    </w:tbl>
    <w:p w:rsidR="00BF2912" w:rsidRDefault="00BF2912" w:rsidP="00BF2912">
      <w:pPr>
        <w:pStyle w:val="ExhibitSource"/>
      </w:pPr>
      <w:r>
        <w:t xml:space="preserve">Source: Public Sector Consultants </w:t>
      </w:r>
    </w:p>
    <w:p w:rsidR="00C854A4" w:rsidRDefault="005D26F8" w:rsidP="00F233AC">
      <w:pPr>
        <w:pStyle w:val="Heading3"/>
      </w:pPr>
      <w:bookmarkStart w:id="136" w:name="_Toc514432746"/>
      <w:bookmarkStart w:id="137" w:name="_Toc515529425"/>
      <w:bookmarkStart w:id="138" w:name="_Toc527121875"/>
      <w:bookmarkStart w:id="139" w:name="_Toc533742424"/>
      <w:bookmarkStart w:id="140" w:name="_Toc533742689"/>
      <w:r w:rsidRPr="00F233AC">
        <w:t>Small</w:t>
      </w:r>
      <w:r w:rsidR="00473EBC">
        <w:t>-b</w:t>
      </w:r>
      <w:r w:rsidRPr="00F233AC">
        <w:t xml:space="preserve">usiness </w:t>
      </w:r>
      <w:r w:rsidR="005A3F0D">
        <w:t>D</w:t>
      </w:r>
      <w:r w:rsidRPr="00F233AC">
        <w:t xml:space="preserve">irect </w:t>
      </w:r>
      <w:r w:rsidR="005A3F0D">
        <w:t>I</w:t>
      </w:r>
      <w:r w:rsidRPr="00F233AC">
        <w:t>nstall</w:t>
      </w:r>
      <w:bookmarkEnd w:id="136"/>
      <w:bookmarkEnd w:id="137"/>
      <w:bookmarkEnd w:id="138"/>
      <w:bookmarkEnd w:id="139"/>
      <w:bookmarkEnd w:id="140"/>
    </w:p>
    <w:p w:rsidR="00A93DAE" w:rsidRPr="003B2694" w:rsidRDefault="00A93DAE" w:rsidP="00D728A1">
      <w:pPr>
        <w:pStyle w:val="BodyText"/>
        <w:spacing w:before="120" w:after="120" w:line="240" w:lineRule="auto"/>
      </w:pPr>
      <w:r w:rsidRPr="003B2694">
        <w:rPr>
          <w:noProof/>
        </w:rPr>
        <w:drawing>
          <wp:inline distT="0" distB="0" distL="0" distR="0">
            <wp:extent cx="1261392" cy="6400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1392" cy="640080"/>
                    </a:xfrm>
                    <a:prstGeom prst="rect">
                      <a:avLst/>
                    </a:prstGeom>
                    <a:noFill/>
                  </pic:spPr>
                </pic:pic>
              </a:graphicData>
            </a:graphic>
          </wp:inline>
        </w:drawing>
      </w:r>
    </w:p>
    <w:p w:rsidR="00050974" w:rsidRPr="00F233AC" w:rsidRDefault="00143454" w:rsidP="00DA4A8D">
      <w:pPr>
        <w:pStyle w:val="BodyText"/>
      </w:pPr>
      <w:r>
        <w:rPr>
          <w:rStyle w:val="BodyTextChar"/>
        </w:rPr>
        <w:t>Small</w:t>
      </w:r>
      <w:r w:rsidR="00473EBC">
        <w:rPr>
          <w:rStyle w:val="BodyTextChar"/>
        </w:rPr>
        <w:t>-</w:t>
      </w:r>
      <w:r>
        <w:rPr>
          <w:rStyle w:val="BodyTextChar"/>
        </w:rPr>
        <w:t xml:space="preserve">business owners face special challenges accessing energy efficiency. With owners or managers often wearing multiple hats, they are unable to identify savings opportunities and rally the resources necessary to implement them. Small businesses are sometimes defined based on the size of </w:t>
      </w:r>
      <w:r w:rsidRPr="00143454">
        <w:rPr>
          <w:rStyle w:val="BodyTextChar"/>
        </w:rPr>
        <w:t xml:space="preserve">their utility or </w:t>
      </w:r>
      <w:r w:rsidR="003346F8">
        <w:rPr>
          <w:rStyle w:val="BodyTextChar"/>
        </w:rPr>
        <w:t>on</w:t>
      </w:r>
      <w:r w:rsidRPr="00143454">
        <w:rPr>
          <w:rStyle w:val="BodyTextChar"/>
        </w:rPr>
        <w:t xml:space="preserve"> definitions for small businesses established by </w:t>
      </w:r>
      <w:r w:rsidR="005A309A" w:rsidRPr="00143454">
        <w:rPr>
          <w:rStyle w:val="BodyTextChar"/>
        </w:rPr>
        <w:t>U</w:t>
      </w:r>
      <w:r w:rsidR="003D6B8C">
        <w:rPr>
          <w:rStyle w:val="BodyTextChar"/>
        </w:rPr>
        <w:t>.</w:t>
      </w:r>
      <w:r w:rsidR="005A309A" w:rsidRPr="00143454">
        <w:rPr>
          <w:rStyle w:val="BodyTextChar"/>
        </w:rPr>
        <w:t>S</w:t>
      </w:r>
      <w:r w:rsidR="003D6B8C">
        <w:rPr>
          <w:rStyle w:val="BodyTextChar"/>
        </w:rPr>
        <w:t>.</w:t>
      </w:r>
      <w:r w:rsidR="005A309A" w:rsidRPr="00143454">
        <w:rPr>
          <w:rStyle w:val="BodyTextChar"/>
        </w:rPr>
        <w:t xml:space="preserve"> Small Business Administration.</w:t>
      </w:r>
      <w:r w:rsidR="00604780" w:rsidRPr="00143454">
        <w:rPr>
          <w:rStyle w:val="FootnoteReference"/>
        </w:rPr>
        <w:footnoteReference w:id="28"/>
      </w:r>
      <w:r w:rsidR="00E8462D">
        <w:rPr>
          <w:rStyle w:val="BodyTextChar"/>
        </w:rPr>
        <w:t xml:space="preserve"> </w:t>
      </w:r>
    </w:p>
    <w:p w:rsidR="005D26F8" w:rsidRDefault="00DF6930" w:rsidP="004761F0">
      <w:pPr>
        <w:pStyle w:val="BodyText"/>
      </w:pPr>
      <w:r>
        <w:t>Direct install programs can deliver energy</w:t>
      </w:r>
      <w:r w:rsidR="003346F8">
        <w:t>-</w:t>
      </w:r>
      <w:r>
        <w:t>efficiency technologies that have wide</w:t>
      </w:r>
      <w:r w:rsidR="003346F8">
        <w:t xml:space="preserve"> </w:t>
      </w:r>
      <w:r>
        <w:t>applicability</w:t>
      </w:r>
      <w:r w:rsidR="00F96EB2">
        <w:t>,</w:t>
      </w:r>
      <w:r>
        <w:t xml:space="preserve"> </w:t>
      </w:r>
      <w:r w:rsidR="003346F8">
        <w:t xml:space="preserve">such as </w:t>
      </w:r>
      <w:r>
        <w:t>lighting, controls,</w:t>
      </w:r>
      <w:r w:rsidR="004761F0">
        <w:t xml:space="preserve"> equipment tune-ups, and infiltration reduction</w:t>
      </w:r>
      <w:r w:rsidR="003346F8">
        <w:t>,</w:t>
      </w:r>
      <w:r w:rsidR="003346F8" w:rsidRPr="003346F8">
        <w:t xml:space="preserve"> </w:t>
      </w:r>
      <w:r w:rsidR="003346F8">
        <w:t>across different business or building types</w:t>
      </w:r>
      <w:r w:rsidR="004761F0">
        <w:t>. Alternately, small</w:t>
      </w:r>
      <w:r w:rsidR="003346F8">
        <w:t>-</w:t>
      </w:r>
      <w:r w:rsidR="004761F0">
        <w:t>business programs may focus on a particular segment</w:t>
      </w:r>
      <w:r w:rsidR="003346F8">
        <w:t xml:space="preserve"> with </w:t>
      </w:r>
      <w:r w:rsidR="004761F0">
        <w:t>higher energy use intensity</w:t>
      </w:r>
      <w:r w:rsidR="003346F8">
        <w:t xml:space="preserve">, such as </w:t>
      </w:r>
      <w:r w:rsidR="004761F0">
        <w:t xml:space="preserve">restaurants or grocery stores. </w:t>
      </w:r>
      <w:r w:rsidR="003346F8">
        <w:t>Programs serving these types of businesses or buildings</w:t>
      </w:r>
      <w:r w:rsidR="004761F0">
        <w:t xml:space="preserve"> deliver an expanded set of measures, </w:t>
      </w:r>
      <w:r w:rsidR="003346F8">
        <w:t>for example</w:t>
      </w:r>
      <w:r w:rsidR="004761F0">
        <w:t xml:space="preserve">, food service equipment or refrigeration upgrades. </w:t>
      </w:r>
    </w:p>
    <w:p w:rsidR="004761F0" w:rsidRDefault="004761F0" w:rsidP="004761F0">
      <w:pPr>
        <w:pStyle w:val="BodyText"/>
      </w:pPr>
      <w:r>
        <w:t>Small</w:t>
      </w:r>
      <w:r w:rsidR="00561D8C">
        <w:t>-</w:t>
      </w:r>
      <w:r>
        <w:t xml:space="preserve">business owners may pay for a portion of the EWR upgrades, but incentives may cover more than the typical half of measure costs. </w:t>
      </w:r>
      <w:r w:rsidR="002D6F10">
        <w:t>Installation costs may be paid up</w:t>
      </w:r>
      <w:r w:rsidR="00561D8C">
        <w:t xml:space="preserve"> </w:t>
      </w:r>
      <w:r w:rsidR="002D6F10">
        <w:t xml:space="preserve">front through the program and the business owners pay their share after the work is done. </w:t>
      </w:r>
      <w:r w:rsidR="00B25F4E">
        <w:t>There are funding sources available to assist small</w:t>
      </w:r>
      <w:r w:rsidR="003346F8">
        <w:t>-</w:t>
      </w:r>
      <w:r w:rsidR="00B25F4E">
        <w:t>business owners operating in rural areas</w:t>
      </w:r>
      <w:r w:rsidR="00561D8C">
        <w:t>,</w:t>
      </w:r>
      <w:r w:rsidR="003346F8">
        <w:t xml:space="preserve"> which </w:t>
      </w:r>
      <w:r w:rsidR="00B25F4E">
        <w:t xml:space="preserve">can help advance EWR projects </w:t>
      </w:r>
      <w:r w:rsidR="003346F8">
        <w:t xml:space="preserve">even </w:t>
      </w:r>
      <w:r w:rsidR="00B25F4E">
        <w:t>when paying just a portion of the project cost is a barrier to participation.</w:t>
      </w:r>
      <w:r w:rsidR="003346F8">
        <w:rPr>
          <w:rStyle w:val="FootnoteReference"/>
        </w:rPr>
        <w:footnoteReference w:id="29"/>
      </w:r>
      <w:r w:rsidR="00B25F4E">
        <w:t xml:space="preserve"> </w:t>
      </w:r>
    </w:p>
    <w:p w:rsidR="005E7149" w:rsidRDefault="005E7149" w:rsidP="00107820">
      <w:pPr>
        <w:pStyle w:val="Heading3"/>
      </w:pPr>
      <w:bookmarkStart w:id="141" w:name="_Toc514432747"/>
      <w:bookmarkStart w:id="142" w:name="_Toc515529426"/>
      <w:bookmarkStart w:id="143" w:name="_Toc527121876"/>
      <w:bookmarkStart w:id="144" w:name="_Toc533742425"/>
      <w:bookmarkStart w:id="145" w:name="_Toc533742690"/>
      <w:r>
        <w:t xml:space="preserve">Prescriptive and </w:t>
      </w:r>
      <w:r w:rsidR="005A3F0D">
        <w:t>C</w:t>
      </w:r>
      <w:r>
        <w:t xml:space="preserve">ustom </w:t>
      </w:r>
      <w:r w:rsidR="005A3F0D">
        <w:t>R</w:t>
      </w:r>
      <w:r>
        <w:t>ebates</w:t>
      </w:r>
      <w:bookmarkEnd w:id="141"/>
      <w:bookmarkEnd w:id="142"/>
      <w:bookmarkEnd w:id="143"/>
      <w:bookmarkEnd w:id="144"/>
      <w:bookmarkEnd w:id="145"/>
    </w:p>
    <w:p w:rsidR="00744A7D" w:rsidRPr="003B2694" w:rsidRDefault="003D2221" w:rsidP="00D728A1">
      <w:pPr>
        <w:pStyle w:val="BodyText"/>
        <w:spacing w:before="120" w:after="120" w:line="240" w:lineRule="auto"/>
      </w:pPr>
      <w:r w:rsidRPr="003B2694">
        <w:rPr>
          <w:noProof/>
        </w:rPr>
        <w:drawing>
          <wp:inline distT="0" distB="0" distL="0" distR="0">
            <wp:extent cx="1719771" cy="6400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9771" cy="640080"/>
                    </a:xfrm>
                    <a:prstGeom prst="rect">
                      <a:avLst/>
                    </a:prstGeom>
                    <a:noFill/>
                  </pic:spPr>
                </pic:pic>
              </a:graphicData>
            </a:graphic>
          </wp:inline>
        </w:drawing>
      </w:r>
    </w:p>
    <w:p w:rsidR="005E7149" w:rsidRDefault="003F0E0E" w:rsidP="005E7149">
      <w:pPr>
        <w:pStyle w:val="BodyText"/>
      </w:pPr>
      <w:r>
        <w:t>Commercial and industrial rebates generally fall into one of two categories: 1) p</w:t>
      </w:r>
      <w:r w:rsidRPr="003F0E0E">
        <w:t xml:space="preserve">rescriptive </w:t>
      </w:r>
      <w:r>
        <w:t>rebates that provide set incentives for a preset menu of technologies or measures</w:t>
      </w:r>
      <w:r w:rsidRPr="003F0E0E">
        <w:t xml:space="preserve"> </w:t>
      </w:r>
      <w:r w:rsidR="003346F8">
        <w:t>or</w:t>
      </w:r>
      <w:r w:rsidRPr="003F0E0E">
        <w:t xml:space="preserve"> </w:t>
      </w:r>
      <w:r>
        <w:t>2) c</w:t>
      </w:r>
      <w:r w:rsidRPr="003F0E0E">
        <w:t>ustom incentives to business customers to install energy-efficient equipment in their existing facilities.</w:t>
      </w:r>
    </w:p>
    <w:p w:rsidR="002C2976" w:rsidRDefault="002C2976" w:rsidP="005E7149">
      <w:pPr>
        <w:pStyle w:val="BodyText"/>
      </w:pPr>
      <w:r>
        <w:lastRenderedPageBreak/>
        <w:t xml:space="preserve">Prescriptive rebates are available for </w:t>
      </w:r>
      <w:r w:rsidR="00C105F7">
        <w:t xml:space="preserve">a </w:t>
      </w:r>
      <w:r>
        <w:t>wide range of technologies</w:t>
      </w:r>
      <w:r w:rsidR="003346F8">
        <w:t>,</w:t>
      </w:r>
      <w:r>
        <w:t xml:space="preserve"> including lighting; controls; heating, ventilation</w:t>
      </w:r>
      <w:r w:rsidR="003346F8">
        <w:t>, and air conditioning</w:t>
      </w:r>
      <w:r>
        <w:t xml:space="preserve"> (HVAC) equipment; </w:t>
      </w:r>
      <w:r w:rsidR="008A0748">
        <w:t xml:space="preserve">building envelope; </w:t>
      </w:r>
      <w:r>
        <w:t>refrigeration; motors; and variable</w:t>
      </w:r>
      <w:r w:rsidR="003346F8">
        <w:t>-</w:t>
      </w:r>
      <w:r>
        <w:t>speed motor drives. Equipment characteristics, i.e., efficiency levels, useful life, cost, and savings impacts, are often defined in the MEMD</w:t>
      </w:r>
      <w:r w:rsidR="003346F8">
        <w:t>, and s</w:t>
      </w:r>
      <w:r w:rsidR="0044150A">
        <w:t>avings and incentives may vary based on operating characteristics</w:t>
      </w:r>
      <w:r w:rsidR="00932E74">
        <w:t>,</w:t>
      </w:r>
      <w:r w:rsidR="0044150A">
        <w:t xml:space="preserve"> such as hours of operation. </w:t>
      </w:r>
      <w:r>
        <w:t xml:space="preserve">Prescriptive rebate applicants may work with a contractor or procure and install equipment themselves. </w:t>
      </w:r>
    </w:p>
    <w:p w:rsidR="002C2976" w:rsidRDefault="002C2976" w:rsidP="005E7149">
      <w:pPr>
        <w:pStyle w:val="BodyText"/>
      </w:pPr>
      <w:r>
        <w:t xml:space="preserve">Custom incentives allow for the installation of innovative or unique </w:t>
      </w:r>
      <w:r w:rsidR="0044150A">
        <w:t xml:space="preserve">applications of EWR technologies. Typically, these incentives are calculated based on </w:t>
      </w:r>
      <w:r w:rsidR="00E726F1">
        <w:t>projected</w:t>
      </w:r>
      <w:r w:rsidR="0044150A">
        <w:t xml:space="preserve"> kWh </w:t>
      </w:r>
      <w:r w:rsidR="00080D29">
        <w:t xml:space="preserve">or Ccf </w:t>
      </w:r>
      <w:r w:rsidR="0044150A">
        <w:t>savings</w:t>
      </w:r>
      <w:r w:rsidR="00E726F1">
        <w:t>, up to a maximum percentage of project costs</w:t>
      </w:r>
      <w:r w:rsidR="0044150A">
        <w:t xml:space="preserve">. </w:t>
      </w:r>
      <w:r w:rsidR="003346F8">
        <w:t>C</w:t>
      </w:r>
      <w:r w:rsidR="002D6F10">
        <w:t>ustom projects are</w:t>
      </w:r>
      <w:r w:rsidR="003346F8">
        <w:t xml:space="preserve"> often</w:t>
      </w:r>
      <w:r w:rsidR="002D6F10">
        <w:t xml:space="preserve"> large</w:t>
      </w:r>
      <w:r w:rsidR="00932E74">
        <w:t>,</w:t>
      </w:r>
      <w:r w:rsidR="002D6F10">
        <w:t xml:space="preserve"> and savings estimates are developed or reviewed by an engineering team. </w:t>
      </w:r>
      <w:r w:rsidR="00DA4A8D">
        <w:t xml:space="preserve">Assessing the accuracy of these savings estimates through rigorous monitoring and verification is critical to ensure both the utility and customer are realizing the </w:t>
      </w:r>
      <w:r w:rsidR="00E40678">
        <w:t xml:space="preserve">expected </w:t>
      </w:r>
      <w:r w:rsidR="00DA4A8D">
        <w:t xml:space="preserve">savings. </w:t>
      </w:r>
      <w:r w:rsidR="002D6F10">
        <w:t>Some programs are starting to reserve a portion of incentives until actual savings can be measure</w:t>
      </w:r>
      <w:r w:rsidR="00DA4A8D">
        <w:t>d</w:t>
      </w:r>
      <w:r w:rsidR="002D6F10">
        <w:t xml:space="preserve"> and verified over time.</w:t>
      </w:r>
      <w:r w:rsidR="00CB2440">
        <w:t xml:space="preserve"> </w:t>
      </w:r>
    </w:p>
    <w:p w:rsidR="00B25F4E" w:rsidRPr="005E7149" w:rsidRDefault="00B25F4E" w:rsidP="005E7149">
      <w:pPr>
        <w:pStyle w:val="BodyText"/>
      </w:pPr>
      <w:r>
        <w:t xml:space="preserve">Similar to the residential </w:t>
      </w:r>
      <w:r w:rsidR="00C05DE7">
        <w:t xml:space="preserve">equipment and envelope upgrade programs, commercial and industrial rebate programs rely heavily on trade allies. Efforts to engage trade allies through consistent program design, training opportunities, introduction of new technology, cost management, lead generation and other marketing support, and quality assurance efforts </w:t>
      </w:r>
      <w:r w:rsidR="00E40678">
        <w:t xml:space="preserve">help to promote </w:t>
      </w:r>
      <w:r w:rsidR="00C05DE7">
        <w:t xml:space="preserve">program success for customers, utilities and program </w:t>
      </w:r>
      <w:r w:rsidR="00B16B28">
        <w:t>implementer</w:t>
      </w:r>
      <w:r w:rsidR="00C05DE7">
        <w:t xml:space="preserve">s, and the trade allies themselves. </w:t>
      </w:r>
    </w:p>
    <w:p w:rsidR="00107820" w:rsidRDefault="00107820" w:rsidP="00107820">
      <w:pPr>
        <w:pStyle w:val="Heading3"/>
      </w:pPr>
      <w:bookmarkStart w:id="146" w:name="_Toc514432748"/>
      <w:bookmarkStart w:id="147" w:name="_Toc515529427"/>
      <w:bookmarkStart w:id="148" w:name="_Toc527121877"/>
      <w:bookmarkStart w:id="149" w:name="_Toc533742426"/>
      <w:bookmarkStart w:id="150" w:name="_Toc533742691"/>
      <w:r>
        <w:t xml:space="preserve">Strategic </w:t>
      </w:r>
      <w:r w:rsidR="005A3F0D">
        <w:t>E</w:t>
      </w:r>
      <w:r>
        <w:t xml:space="preserve">nergy </w:t>
      </w:r>
      <w:r w:rsidR="005A3F0D">
        <w:t>M</w:t>
      </w:r>
      <w:r>
        <w:t>anagement</w:t>
      </w:r>
      <w:bookmarkEnd w:id="146"/>
      <w:bookmarkEnd w:id="147"/>
      <w:bookmarkEnd w:id="148"/>
      <w:bookmarkEnd w:id="149"/>
      <w:bookmarkEnd w:id="150"/>
      <w:r>
        <w:t xml:space="preserve"> </w:t>
      </w:r>
    </w:p>
    <w:p w:rsidR="008A0748" w:rsidRPr="003B2694" w:rsidRDefault="008A0748" w:rsidP="00D728A1">
      <w:pPr>
        <w:pStyle w:val="BodyText"/>
        <w:spacing w:before="120" w:after="120"/>
      </w:pPr>
      <w:r w:rsidRPr="003B2694">
        <w:rPr>
          <w:noProof/>
        </w:rPr>
        <w:drawing>
          <wp:inline distT="0" distB="0" distL="0" distR="0">
            <wp:extent cx="1160590" cy="640080"/>
            <wp:effectExtent l="0" t="0" r="190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0590" cy="640080"/>
                    </a:xfrm>
                    <a:prstGeom prst="rect">
                      <a:avLst/>
                    </a:prstGeom>
                    <a:noFill/>
                  </pic:spPr>
                </pic:pic>
              </a:graphicData>
            </a:graphic>
          </wp:inline>
        </w:drawing>
      </w:r>
    </w:p>
    <w:p w:rsidR="00220F89" w:rsidRDefault="005D26F8" w:rsidP="005D26F8">
      <w:pPr>
        <w:pStyle w:val="BodyText"/>
        <w:rPr>
          <w:shd w:val="clear" w:color="auto" w:fill="FFFFFF"/>
        </w:rPr>
      </w:pPr>
      <w:r>
        <w:rPr>
          <w:shd w:val="clear" w:color="auto" w:fill="FFFFFF"/>
        </w:rPr>
        <w:t xml:space="preserve">Strategic </w:t>
      </w:r>
      <w:r w:rsidR="00107820">
        <w:rPr>
          <w:shd w:val="clear" w:color="auto" w:fill="FFFFFF"/>
        </w:rPr>
        <w:t>e</w:t>
      </w:r>
      <w:r>
        <w:rPr>
          <w:shd w:val="clear" w:color="auto" w:fill="FFFFFF"/>
        </w:rPr>
        <w:t xml:space="preserve">nergy </w:t>
      </w:r>
      <w:r w:rsidR="00107820">
        <w:rPr>
          <w:shd w:val="clear" w:color="auto" w:fill="FFFFFF"/>
        </w:rPr>
        <w:t>m</w:t>
      </w:r>
      <w:r>
        <w:rPr>
          <w:shd w:val="clear" w:color="auto" w:fill="FFFFFF"/>
        </w:rPr>
        <w:t>anagement (SEM) is a process of evaluating existing energy management business practices and implementing opportunities to optimize energy use at industrial and manufacturing companies. SEM applies the principles of continuous improvement to energy management to create a holistic approach to managing energy that fosters long-term savings.</w:t>
      </w:r>
    </w:p>
    <w:p w:rsidR="00107820" w:rsidRDefault="00107820" w:rsidP="00107820">
      <w:pPr>
        <w:pStyle w:val="BodyText"/>
      </w:pPr>
      <w:r>
        <w:t>Similar to Building Operator Certification</w:t>
      </w:r>
      <w:r w:rsidR="002825E7">
        <w:t xml:space="preserve"> (BOC)</w:t>
      </w:r>
      <w:r>
        <w:t xml:space="preserve">, </w:t>
      </w:r>
      <w:r w:rsidR="00B662AE">
        <w:t>SEM</w:t>
      </w:r>
      <w:r w:rsidR="00FC2470">
        <w:t xml:space="preserve"> provides training of company employees and supports them </w:t>
      </w:r>
      <w:r>
        <w:t>through the process of establishing and implementing an SEM system.</w:t>
      </w:r>
      <w:r w:rsidR="00FC2470">
        <w:rPr>
          <w:rStyle w:val="FootnoteReference"/>
        </w:rPr>
        <w:footnoteReference w:id="30"/>
      </w:r>
      <w:r>
        <w:t xml:space="preserve"> </w:t>
      </w:r>
      <w:r w:rsidR="00DB011F">
        <w:t xml:space="preserve">EWR is integrated with business processes and is reinforced with feedback </w:t>
      </w:r>
      <w:r w:rsidR="003F0E0E">
        <w:t xml:space="preserve">systems and continued learning. </w:t>
      </w:r>
      <w:r>
        <w:t>Participants learn to:</w:t>
      </w:r>
    </w:p>
    <w:p w:rsidR="00107820" w:rsidRDefault="00107820" w:rsidP="00FC2470">
      <w:pPr>
        <w:pStyle w:val="ListBullet"/>
      </w:pPr>
      <w:r>
        <w:t>Measure and track energy use to help inform strategic business decisions</w:t>
      </w:r>
    </w:p>
    <w:p w:rsidR="00107820" w:rsidRDefault="00107820" w:rsidP="00FC2470">
      <w:pPr>
        <w:pStyle w:val="ListBullet"/>
      </w:pPr>
      <w:r>
        <w:t>Drive managerial and corporate behavioral changes around energy</w:t>
      </w:r>
    </w:p>
    <w:p w:rsidR="00FC2470" w:rsidRDefault="00FC2470" w:rsidP="00FC2470">
      <w:pPr>
        <w:pStyle w:val="ListBullet"/>
      </w:pPr>
      <w:r>
        <w:t>Identify EWR opportunities specific to the needs and operations of their organization</w:t>
      </w:r>
    </w:p>
    <w:p w:rsidR="00107820" w:rsidRDefault="00107820" w:rsidP="00FC2470">
      <w:pPr>
        <w:pStyle w:val="ListBullet"/>
      </w:pPr>
      <w:r>
        <w:t xml:space="preserve">Develop the mechanisms to track and evaluate </w:t>
      </w:r>
      <w:r w:rsidR="00FC2470">
        <w:t>EWR</w:t>
      </w:r>
      <w:r>
        <w:t xml:space="preserve"> efforts</w:t>
      </w:r>
    </w:p>
    <w:p w:rsidR="00FC2470" w:rsidRDefault="00FC2470" w:rsidP="00FC2470">
      <w:pPr>
        <w:pStyle w:val="BodyText"/>
      </w:pPr>
      <w:r>
        <w:lastRenderedPageBreak/>
        <w:t>Industrial energy consumption accounted for over half the energy consumption in the U.P. in 2016, compared to 27 percent of the statewide load. The dominance of industrial loads</w:t>
      </w:r>
      <w:r w:rsidR="005E7149">
        <w:t>, many with unique energy use applications, make</w:t>
      </w:r>
      <w:r w:rsidR="002825E7">
        <w:t>s</w:t>
      </w:r>
      <w:r w:rsidR="005E7149">
        <w:t xml:space="preserve"> </w:t>
      </w:r>
      <w:r w:rsidR="004A14B5">
        <w:t>SEM</w:t>
      </w:r>
      <w:r w:rsidR="005E7149">
        <w:t xml:space="preserve"> particularly applicable in the U.P. </w:t>
      </w:r>
      <w:r w:rsidR="004A14B5">
        <w:t>SEM</w:t>
      </w:r>
      <w:r w:rsidR="005E7149">
        <w:t xml:space="preserve"> plans allow a customer to identify progressive savings opportunities</w:t>
      </w:r>
      <w:r w:rsidR="002825E7">
        <w:t>, and s</w:t>
      </w:r>
      <w:r w:rsidR="005E7149">
        <w:t xml:space="preserve">avings from early </w:t>
      </w:r>
      <w:r w:rsidR="00376D2B">
        <w:t xml:space="preserve">EWR </w:t>
      </w:r>
      <w:r w:rsidR="005E7149">
        <w:t xml:space="preserve">investments can fund future </w:t>
      </w:r>
      <w:r w:rsidR="00376D2B">
        <w:t xml:space="preserve">EWR projects </w:t>
      </w:r>
      <w:r w:rsidR="002825E7">
        <w:t>that</w:t>
      </w:r>
      <w:r w:rsidR="005E7149">
        <w:t xml:space="preserve"> can be planned around </w:t>
      </w:r>
      <w:r w:rsidR="004A14B5">
        <w:t xml:space="preserve">other facility </w:t>
      </w:r>
      <w:r w:rsidR="003D6B8C">
        <w:t>upgrades</w:t>
      </w:r>
      <w:r w:rsidR="004A14B5">
        <w:t xml:space="preserve"> </w:t>
      </w:r>
      <w:r w:rsidR="003D6B8C">
        <w:t xml:space="preserve">(e.g., expansion of production capacity) </w:t>
      </w:r>
      <w:r w:rsidR="004A14B5">
        <w:t>or equipment life expectancy.</w:t>
      </w:r>
    </w:p>
    <w:p w:rsidR="00FC2470" w:rsidRDefault="00C2151F" w:rsidP="00C2151F">
      <w:pPr>
        <w:pStyle w:val="BodyText"/>
      </w:pPr>
      <w:r>
        <w:t>Because process efficiency improvements in large facilities often require specialized expertise, a</w:t>
      </w:r>
      <w:r w:rsidR="006D1EBF">
        <w:t xml:space="preserve"> benefit of SEM </w:t>
      </w:r>
      <w:r>
        <w:t xml:space="preserve">is that resources can be identified and reserved in advance. </w:t>
      </w:r>
      <w:r w:rsidR="00DB011F">
        <w:t>Long-term planning allows participants to optimize incentive funding and to identify alternative funding sources</w:t>
      </w:r>
      <w:r w:rsidR="003D2221">
        <w:t>, including grant funding available to demonstrate advanced energy technologies.</w:t>
      </w:r>
      <w:r w:rsidR="006D1EBF">
        <w:t xml:space="preserve"> </w:t>
      </w:r>
    </w:p>
    <w:p w:rsidR="00C05DE7" w:rsidRDefault="004A14B5" w:rsidP="00C2151F">
      <w:pPr>
        <w:pStyle w:val="BodyText"/>
      </w:pPr>
      <w:r>
        <w:t>The</w:t>
      </w:r>
      <w:r w:rsidR="00C05DE7">
        <w:t xml:space="preserve"> </w:t>
      </w:r>
      <w:r w:rsidR="003B2694">
        <w:t>opportunitie</w:t>
      </w:r>
      <w:r w:rsidR="00C05DE7">
        <w:t xml:space="preserve">s for enhancing and expanding the commercial and industrial programs </w:t>
      </w:r>
      <w:r>
        <w:t>include</w:t>
      </w:r>
      <w:r w:rsidR="00C05DE7">
        <w:t>:</w:t>
      </w:r>
    </w:p>
    <w:p w:rsidR="00C05DE7" w:rsidRPr="00C05DE7" w:rsidRDefault="00C05DE7" w:rsidP="00C05DE7">
      <w:pPr>
        <w:pStyle w:val="ListBullet"/>
      </w:pPr>
      <w:r w:rsidRPr="00C05DE7">
        <w:t xml:space="preserve">Address additional challenges </w:t>
      </w:r>
      <w:r>
        <w:t>faced by</w:t>
      </w:r>
      <w:r w:rsidRPr="00C05DE7">
        <w:t xml:space="preserve"> small businesses with direct install assistance</w:t>
      </w:r>
    </w:p>
    <w:p w:rsidR="00507E62" w:rsidRPr="00C05DE7" w:rsidRDefault="00634A50" w:rsidP="00C05DE7">
      <w:pPr>
        <w:pStyle w:val="ListBullet"/>
      </w:pPr>
      <w:r w:rsidRPr="00C05DE7">
        <w:t>Negotiate equipment and installation costs</w:t>
      </w:r>
      <w:r w:rsidR="00C05DE7">
        <w:t xml:space="preserve"> when possible</w:t>
      </w:r>
    </w:p>
    <w:p w:rsidR="00507E62" w:rsidRPr="00C05DE7" w:rsidRDefault="00634A50" w:rsidP="00C05DE7">
      <w:pPr>
        <w:pStyle w:val="ListBullet"/>
      </w:pPr>
      <w:r w:rsidRPr="00C05DE7">
        <w:t>Seek additional funding sources or leverage other investments</w:t>
      </w:r>
      <w:r w:rsidR="002825E7">
        <w:t xml:space="preserve"> (</w:t>
      </w:r>
      <w:r w:rsidRPr="00C05DE7">
        <w:t xml:space="preserve">e.g., </w:t>
      </w:r>
      <w:r w:rsidR="00C05DE7">
        <w:t xml:space="preserve">funding for </w:t>
      </w:r>
      <w:r w:rsidRPr="00C05DE7">
        <w:t>economic development</w:t>
      </w:r>
      <w:r w:rsidR="00C05DE7">
        <w:t xml:space="preserve"> or technology advancement</w:t>
      </w:r>
      <w:r w:rsidR="002825E7">
        <w:t>)</w:t>
      </w:r>
    </w:p>
    <w:p w:rsidR="00507E62" w:rsidRPr="00C05DE7" w:rsidRDefault="00634A50" w:rsidP="00C05DE7">
      <w:pPr>
        <w:pStyle w:val="ListBullet"/>
      </w:pPr>
      <w:r w:rsidRPr="00C05DE7">
        <w:t>Unify program offerings</w:t>
      </w:r>
      <w:r w:rsidR="00D42C51">
        <w:t xml:space="preserve"> </w:t>
      </w:r>
    </w:p>
    <w:p w:rsidR="00507E62" w:rsidRDefault="00634A50" w:rsidP="00C05DE7">
      <w:pPr>
        <w:pStyle w:val="ListBullet"/>
      </w:pPr>
      <w:r w:rsidRPr="00C05DE7">
        <w:t>Expand trade ally network</w:t>
      </w:r>
      <w:r w:rsidR="00D42C51">
        <w:t xml:space="preserve"> </w:t>
      </w:r>
      <w:r w:rsidR="002825E7">
        <w:t xml:space="preserve">by </w:t>
      </w:r>
      <w:r w:rsidR="00D42C51">
        <w:t>geograph</w:t>
      </w:r>
      <w:r w:rsidR="002825E7">
        <w:t>y</w:t>
      </w:r>
      <w:r w:rsidR="00D42C51">
        <w:t xml:space="preserve"> </w:t>
      </w:r>
      <w:r w:rsidR="002825E7">
        <w:t xml:space="preserve">and </w:t>
      </w:r>
      <w:r w:rsidR="00D42C51">
        <w:t>skill level</w:t>
      </w:r>
      <w:r w:rsidR="002825E7">
        <w:t xml:space="preserve"> and </w:t>
      </w:r>
      <w:r w:rsidRPr="00C05DE7">
        <w:t>ensure engineering expertise is available to assess project feasibility</w:t>
      </w:r>
      <w:r w:rsidR="00D42C51">
        <w:t xml:space="preserve"> and savings</w:t>
      </w:r>
    </w:p>
    <w:p w:rsidR="00D42C51" w:rsidRPr="00C05DE7" w:rsidRDefault="00D42C51" w:rsidP="00C05DE7">
      <w:pPr>
        <w:pStyle w:val="ListBullet"/>
      </w:pPr>
      <w:r>
        <w:t xml:space="preserve">Institute </w:t>
      </w:r>
      <w:r w:rsidR="004A14B5">
        <w:t>an SEM</w:t>
      </w:r>
      <w:r>
        <w:t xml:space="preserve"> process with the largest industrial customers to create systematic and long-term EWR plans </w:t>
      </w:r>
    </w:p>
    <w:p w:rsidR="00B25F4E" w:rsidRDefault="00370D51" w:rsidP="00C2151F">
      <w:pPr>
        <w:pStyle w:val="BodyText"/>
      </w:pPr>
      <w:r>
        <w:fldChar w:fldCharType="begin"/>
      </w:r>
      <w:r w:rsidR="00B25F4E">
        <w:instrText xml:space="preserve"> REF _Ref514324746 \h </w:instrText>
      </w:r>
      <w:r>
        <w:fldChar w:fldCharType="separate"/>
      </w:r>
      <w:r w:rsidR="00B25F4E">
        <w:t xml:space="preserve">Exhibit </w:t>
      </w:r>
      <w:r w:rsidR="001E121C">
        <w:rPr>
          <w:noProof/>
        </w:rPr>
        <w:t>B-9</w:t>
      </w:r>
      <w:r>
        <w:fldChar w:fldCharType="end"/>
      </w:r>
      <w:r w:rsidR="00D42C51">
        <w:t xml:space="preserve"> shows the projected average annual savings and expenditures over a ten-year period for a </w:t>
      </w:r>
      <w:r w:rsidR="003B2694">
        <w:t>Business as Usual</w:t>
      </w:r>
      <w:r w:rsidR="00D42C51">
        <w:t xml:space="preserve"> scenario and the savings and cost implications of implementing the </w:t>
      </w:r>
      <w:r w:rsidR="003B2694">
        <w:t>Strategic Portfolio</w:t>
      </w:r>
      <w:r w:rsidR="00D42C51">
        <w:t xml:space="preserve"> </w:t>
      </w:r>
      <w:r w:rsidR="007C2F27">
        <w:t>opportunities</w:t>
      </w:r>
      <w:r w:rsidR="00BF6BB7">
        <w:t>.</w:t>
      </w:r>
    </w:p>
    <w:p w:rsidR="00143454" w:rsidRDefault="00143454" w:rsidP="00143454">
      <w:pPr>
        <w:pStyle w:val="ExhibitTitle"/>
      </w:pPr>
      <w:bookmarkStart w:id="151" w:name="_Ref514324746"/>
      <w:r>
        <w:t xml:space="preserve">Exhibit </w:t>
      </w:r>
      <w:bookmarkEnd w:id="151"/>
      <w:r w:rsidR="001E121C">
        <w:rPr>
          <w:noProof/>
        </w:rPr>
        <w:t>B-9</w:t>
      </w:r>
      <w:r>
        <w:t xml:space="preserve">: Commercial and Industrial Portfolio </w:t>
      </w:r>
    </w:p>
    <w:tbl>
      <w:tblPr>
        <w:tblW w:w="7805" w:type="dxa"/>
        <w:tblBorders>
          <w:bottom w:val="single" w:sz="4" w:space="0" w:color="auto"/>
          <w:insideH w:val="single" w:sz="4" w:space="0" w:color="auto"/>
        </w:tblBorders>
        <w:tblLook w:val="04A0"/>
      </w:tblPr>
      <w:tblGrid>
        <w:gridCol w:w="2785"/>
        <w:gridCol w:w="2520"/>
        <w:gridCol w:w="2500"/>
      </w:tblGrid>
      <w:tr w:rsidR="000B31BD" w:rsidRPr="005D34DF" w:rsidTr="009E6E96">
        <w:trPr>
          <w:trHeight w:val="300"/>
        </w:trPr>
        <w:tc>
          <w:tcPr>
            <w:tcW w:w="2785" w:type="dxa"/>
            <w:shd w:val="clear" w:color="auto" w:fill="auto"/>
            <w:noWrap/>
            <w:vAlign w:val="bottom"/>
            <w:hideMark/>
          </w:tcPr>
          <w:p w:rsidR="000B31BD" w:rsidRPr="005D34DF" w:rsidRDefault="000B31BD" w:rsidP="009E6E96">
            <w:pPr>
              <w:rPr>
                <w:rFonts w:ascii="Times New Roman" w:eastAsia="Times New Roman" w:hAnsi="Times New Roman" w:cs="Times New Roman"/>
              </w:rPr>
            </w:pPr>
          </w:p>
        </w:tc>
        <w:tc>
          <w:tcPr>
            <w:tcW w:w="2520" w:type="dxa"/>
            <w:shd w:val="clear" w:color="auto" w:fill="auto"/>
            <w:noWrap/>
            <w:vAlign w:val="bottom"/>
            <w:hideMark/>
          </w:tcPr>
          <w:p w:rsidR="000B31BD" w:rsidRPr="00E31E8A" w:rsidRDefault="000B31BD" w:rsidP="009E6E96">
            <w:pPr>
              <w:pStyle w:val="TableHeader"/>
              <w:jc w:val="center"/>
            </w:pPr>
            <w:r w:rsidRPr="00E31E8A">
              <w:t>Business as Usual</w:t>
            </w:r>
          </w:p>
        </w:tc>
        <w:tc>
          <w:tcPr>
            <w:tcW w:w="2500" w:type="dxa"/>
            <w:shd w:val="clear" w:color="auto" w:fill="auto"/>
            <w:noWrap/>
            <w:vAlign w:val="bottom"/>
            <w:hideMark/>
          </w:tcPr>
          <w:p w:rsidR="000B31BD" w:rsidRPr="00E31E8A" w:rsidRDefault="000B31BD" w:rsidP="009E6E96">
            <w:pPr>
              <w:pStyle w:val="TableHeader"/>
              <w:jc w:val="center"/>
            </w:pPr>
            <w:r w:rsidRPr="00E31E8A">
              <w:t>Strategic Portfolio</w:t>
            </w:r>
          </w:p>
        </w:tc>
      </w:tr>
      <w:tr w:rsidR="00FC306F" w:rsidRPr="005D34DF" w:rsidTr="009E6E96">
        <w:trPr>
          <w:trHeight w:val="300"/>
        </w:trPr>
        <w:tc>
          <w:tcPr>
            <w:tcW w:w="2785" w:type="dxa"/>
            <w:shd w:val="clear" w:color="auto" w:fill="auto"/>
            <w:noWrap/>
            <w:hideMark/>
          </w:tcPr>
          <w:p w:rsidR="00FC306F" w:rsidRPr="005D34DF" w:rsidRDefault="00FC306F" w:rsidP="00FC306F">
            <w:pPr>
              <w:pStyle w:val="TableData"/>
            </w:pPr>
            <w:r w:rsidRPr="00FE283B">
              <w:t xml:space="preserve">Annual </w:t>
            </w:r>
            <w:r w:rsidR="00BD1840">
              <w:t>s</w:t>
            </w:r>
            <w:r w:rsidRPr="00FE283B">
              <w:t>avings (MWh)</w:t>
            </w:r>
          </w:p>
        </w:tc>
        <w:tc>
          <w:tcPr>
            <w:tcW w:w="2520" w:type="dxa"/>
            <w:shd w:val="clear" w:color="auto" w:fill="auto"/>
            <w:noWrap/>
            <w:hideMark/>
          </w:tcPr>
          <w:p w:rsidR="00FC306F" w:rsidRPr="005D34DF" w:rsidRDefault="00FC306F" w:rsidP="00FC306F">
            <w:pPr>
              <w:pStyle w:val="TableData"/>
              <w:jc w:val="center"/>
            </w:pPr>
            <w:r w:rsidRPr="00FE283B">
              <w:t>17,681</w:t>
            </w:r>
          </w:p>
        </w:tc>
        <w:tc>
          <w:tcPr>
            <w:tcW w:w="2500" w:type="dxa"/>
            <w:shd w:val="clear" w:color="auto" w:fill="auto"/>
            <w:noWrap/>
            <w:hideMark/>
          </w:tcPr>
          <w:p w:rsidR="00FC306F" w:rsidRPr="005D34DF" w:rsidRDefault="00FC306F" w:rsidP="00FC306F">
            <w:pPr>
              <w:pStyle w:val="TableData"/>
              <w:jc w:val="center"/>
            </w:pPr>
            <w:r w:rsidRPr="00FE283B">
              <w:t>20,156</w:t>
            </w:r>
          </w:p>
        </w:tc>
      </w:tr>
      <w:tr w:rsidR="00FC306F" w:rsidRPr="005D34DF" w:rsidTr="009E6E96">
        <w:trPr>
          <w:trHeight w:val="300"/>
        </w:trPr>
        <w:tc>
          <w:tcPr>
            <w:tcW w:w="2785" w:type="dxa"/>
            <w:shd w:val="clear" w:color="auto" w:fill="auto"/>
            <w:noWrap/>
            <w:hideMark/>
          </w:tcPr>
          <w:p w:rsidR="00FC306F" w:rsidRPr="005D34DF" w:rsidRDefault="00FC306F" w:rsidP="00FC306F">
            <w:pPr>
              <w:pStyle w:val="TableData"/>
            </w:pPr>
            <w:r w:rsidRPr="00FE283B">
              <w:t xml:space="preserve">Annual </w:t>
            </w:r>
            <w:r w:rsidR="00BD1840">
              <w:t>e</w:t>
            </w:r>
            <w:r w:rsidRPr="00FE283B">
              <w:t>xpenditure (</w:t>
            </w:r>
            <w:r w:rsidR="002825E7">
              <w:t xml:space="preserve">in </w:t>
            </w:r>
            <w:r w:rsidR="006C387F">
              <w:t>thousands</w:t>
            </w:r>
            <w:r w:rsidRPr="00FE283B">
              <w:t>)</w:t>
            </w:r>
          </w:p>
        </w:tc>
        <w:tc>
          <w:tcPr>
            <w:tcW w:w="2520" w:type="dxa"/>
            <w:shd w:val="clear" w:color="auto" w:fill="auto"/>
            <w:noWrap/>
            <w:hideMark/>
          </w:tcPr>
          <w:p w:rsidR="00FC306F" w:rsidRPr="005D34DF" w:rsidRDefault="00FC306F" w:rsidP="00FC306F">
            <w:pPr>
              <w:pStyle w:val="TableData"/>
              <w:jc w:val="center"/>
            </w:pPr>
            <w:r w:rsidRPr="00FE283B">
              <w:t>$2,840</w:t>
            </w:r>
          </w:p>
        </w:tc>
        <w:tc>
          <w:tcPr>
            <w:tcW w:w="2500" w:type="dxa"/>
            <w:shd w:val="clear" w:color="auto" w:fill="auto"/>
            <w:noWrap/>
            <w:hideMark/>
          </w:tcPr>
          <w:p w:rsidR="00FC306F" w:rsidRPr="005D34DF" w:rsidRDefault="00FC306F" w:rsidP="00FC306F">
            <w:pPr>
              <w:pStyle w:val="TableData"/>
              <w:jc w:val="center"/>
            </w:pPr>
            <w:r w:rsidRPr="00FE283B">
              <w:t>$3,777</w:t>
            </w:r>
          </w:p>
        </w:tc>
      </w:tr>
      <w:tr w:rsidR="00FC306F" w:rsidRPr="005D34DF" w:rsidTr="009E6E96">
        <w:trPr>
          <w:trHeight w:val="300"/>
        </w:trPr>
        <w:tc>
          <w:tcPr>
            <w:tcW w:w="2785" w:type="dxa"/>
            <w:shd w:val="clear" w:color="auto" w:fill="auto"/>
            <w:noWrap/>
            <w:hideMark/>
          </w:tcPr>
          <w:p w:rsidR="00FC306F" w:rsidRPr="005D34DF" w:rsidRDefault="00FC306F" w:rsidP="00FC306F">
            <w:pPr>
              <w:pStyle w:val="TableData"/>
            </w:pPr>
            <w:r w:rsidRPr="00FE283B">
              <w:t xml:space="preserve">Cost of </w:t>
            </w:r>
            <w:r w:rsidR="00BD1840">
              <w:t>c</w:t>
            </w:r>
            <w:r w:rsidRPr="00FE283B">
              <w:t xml:space="preserve">onserved </w:t>
            </w:r>
            <w:r w:rsidR="00BD1840">
              <w:t>e</w:t>
            </w:r>
            <w:r w:rsidRPr="00FE283B">
              <w:t>nergy</w:t>
            </w:r>
          </w:p>
        </w:tc>
        <w:tc>
          <w:tcPr>
            <w:tcW w:w="2520" w:type="dxa"/>
            <w:shd w:val="clear" w:color="auto" w:fill="auto"/>
            <w:noWrap/>
            <w:hideMark/>
          </w:tcPr>
          <w:p w:rsidR="00FC306F" w:rsidRPr="005D34DF" w:rsidRDefault="00FC306F" w:rsidP="00FC306F">
            <w:pPr>
              <w:pStyle w:val="TableData"/>
              <w:jc w:val="center"/>
            </w:pPr>
            <w:r w:rsidRPr="00FE283B">
              <w:t>$0.0221</w:t>
            </w:r>
          </w:p>
        </w:tc>
        <w:tc>
          <w:tcPr>
            <w:tcW w:w="2500" w:type="dxa"/>
            <w:shd w:val="clear" w:color="auto" w:fill="auto"/>
            <w:noWrap/>
            <w:hideMark/>
          </w:tcPr>
          <w:p w:rsidR="00FC306F" w:rsidRPr="005D34DF" w:rsidRDefault="00FC306F" w:rsidP="00FC306F">
            <w:pPr>
              <w:pStyle w:val="TableData"/>
              <w:jc w:val="center"/>
            </w:pPr>
            <w:r w:rsidRPr="00FE283B">
              <w:t>$0.0258</w:t>
            </w:r>
          </w:p>
        </w:tc>
      </w:tr>
    </w:tbl>
    <w:p w:rsidR="000B31BD" w:rsidRDefault="000B31BD" w:rsidP="000B31BD">
      <w:pPr>
        <w:pStyle w:val="ExhibitSource"/>
      </w:pPr>
      <w:r>
        <w:t>Source: Public Sector Consultants analysis.</w:t>
      </w:r>
    </w:p>
    <w:p w:rsidR="00341EE1" w:rsidRPr="00822DEC" w:rsidRDefault="00341EE1" w:rsidP="00822DEC">
      <w:pPr>
        <w:pStyle w:val="Heading2"/>
      </w:pPr>
      <w:bookmarkStart w:id="152" w:name="_Toc533742692"/>
      <w:r w:rsidRPr="00822DEC">
        <w:t xml:space="preserve">Overall </w:t>
      </w:r>
      <w:r w:rsidR="005A3F0D">
        <w:t>C</w:t>
      </w:r>
      <w:r w:rsidRPr="00822DEC">
        <w:t xml:space="preserve">ost and </w:t>
      </w:r>
      <w:r w:rsidR="005A3F0D">
        <w:t>S</w:t>
      </w:r>
      <w:r w:rsidRPr="00822DEC">
        <w:t>avings</w:t>
      </w:r>
      <w:bookmarkEnd w:id="152"/>
    </w:p>
    <w:p w:rsidR="00341EE1" w:rsidRDefault="00410804" w:rsidP="00341EE1">
      <w:pPr>
        <w:pStyle w:val="BodyText"/>
      </w:pPr>
      <w:r>
        <w:t xml:space="preserve">The </w:t>
      </w:r>
      <w:r w:rsidR="003D6B8C">
        <w:t>residential and commercial and industrial programs discussed herein</w:t>
      </w:r>
      <w:r>
        <w:t xml:space="preserve"> combine to be</w:t>
      </w:r>
      <w:r w:rsidR="004A14B5">
        <w:t>come</w:t>
      </w:r>
      <w:r>
        <w:t xml:space="preserve"> a comprehensive EWR portfolio for </w:t>
      </w:r>
      <w:r w:rsidR="00B25F4E">
        <w:t xml:space="preserve">either a Business as Usual scenario or a Strategic Portfolio scenario </w:t>
      </w:r>
      <w:r w:rsidR="00B461AB">
        <w:t xml:space="preserve">as shown in </w:t>
      </w:r>
      <w:r w:rsidR="00370D51">
        <w:fldChar w:fldCharType="begin"/>
      </w:r>
      <w:r w:rsidR="00B25F4E">
        <w:instrText xml:space="preserve"> REF _Ref514324865 \h </w:instrText>
      </w:r>
      <w:r w:rsidR="00370D51">
        <w:fldChar w:fldCharType="separate"/>
      </w:r>
      <w:r w:rsidR="00B25F4E">
        <w:t xml:space="preserve">Exhibit </w:t>
      </w:r>
      <w:r w:rsidR="001E121C">
        <w:rPr>
          <w:noProof/>
        </w:rPr>
        <w:t>B-10</w:t>
      </w:r>
      <w:r w:rsidR="00370D51">
        <w:fldChar w:fldCharType="end"/>
      </w:r>
      <w:r w:rsidR="00B25F4E">
        <w:t>.</w:t>
      </w:r>
      <w:r w:rsidR="00E40678">
        <w:t xml:space="preserve"> These cost and savings estimates are based on historical achievements, industry standards, and expected impacts of the suggested portfolio strategies. In some cases</w:t>
      </w:r>
      <w:r w:rsidR="003B2694">
        <w:t>,</w:t>
      </w:r>
      <w:r w:rsidR="00E40678">
        <w:t xml:space="preserve"> these strategies reduce cost through preferential pricing</w:t>
      </w:r>
      <w:r w:rsidR="003B2694">
        <w:t xml:space="preserve"> and program efficiencies.</w:t>
      </w:r>
      <w:r w:rsidR="00E40678">
        <w:t xml:space="preserve"> </w:t>
      </w:r>
      <w:r w:rsidR="003B2694">
        <w:t xml:space="preserve">For other programs, investment in infrastructure is required to reach more customers or provide deeper savings for customers already engaged in the programs. These impacts and costs would be reviewed through a collaborative planning process engaging utilities and program administrators, as well as stakeholders and customers. </w:t>
      </w:r>
    </w:p>
    <w:p w:rsidR="00B461AB" w:rsidRDefault="00B461AB" w:rsidP="00B461AB">
      <w:pPr>
        <w:pStyle w:val="ExhibitTitle"/>
      </w:pPr>
      <w:bookmarkStart w:id="153" w:name="_Ref514324865"/>
      <w:r>
        <w:lastRenderedPageBreak/>
        <w:t xml:space="preserve">Exhibit </w:t>
      </w:r>
      <w:bookmarkEnd w:id="153"/>
      <w:r w:rsidR="001E121C">
        <w:rPr>
          <w:noProof/>
        </w:rPr>
        <w:t>B-10</w:t>
      </w:r>
      <w:r>
        <w:t xml:space="preserve">: </w:t>
      </w:r>
      <w:r w:rsidR="00B25F4E">
        <w:t>Business as Usual and Strategic Portfolio Impacts and Cost</w:t>
      </w:r>
      <w:r>
        <w:t xml:space="preserve"> </w:t>
      </w:r>
    </w:p>
    <w:tbl>
      <w:tblPr>
        <w:tblW w:w="9360" w:type="dxa"/>
        <w:tblLook w:val="04A0"/>
      </w:tblPr>
      <w:tblGrid>
        <w:gridCol w:w="2832"/>
        <w:gridCol w:w="1387"/>
        <w:gridCol w:w="1877"/>
        <w:gridCol w:w="1387"/>
        <w:gridCol w:w="1877"/>
      </w:tblGrid>
      <w:tr w:rsidR="00B461AB" w:rsidRPr="00B461AB" w:rsidTr="00B461AB">
        <w:trPr>
          <w:trHeight w:val="300"/>
        </w:trPr>
        <w:tc>
          <w:tcPr>
            <w:tcW w:w="2832" w:type="dxa"/>
            <w:tcBorders>
              <w:top w:val="nil"/>
              <w:left w:val="nil"/>
              <w:bottom w:val="nil"/>
              <w:right w:val="nil"/>
            </w:tcBorders>
            <w:shd w:val="clear" w:color="auto" w:fill="auto"/>
            <w:noWrap/>
            <w:vAlign w:val="bottom"/>
            <w:hideMark/>
          </w:tcPr>
          <w:p w:rsidR="00B461AB" w:rsidRPr="00B461AB" w:rsidRDefault="00B461AB" w:rsidP="00B461AB">
            <w:pPr>
              <w:pStyle w:val="TableHeader"/>
            </w:pPr>
          </w:p>
        </w:tc>
        <w:tc>
          <w:tcPr>
            <w:tcW w:w="3264" w:type="dxa"/>
            <w:gridSpan w:val="2"/>
            <w:tcBorders>
              <w:top w:val="nil"/>
              <w:left w:val="nil"/>
              <w:bottom w:val="nil"/>
              <w:right w:val="nil"/>
            </w:tcBorders>
            <w:shd w:val="clear" w:color="auto" w:fill="auto"/>
            <w:noWrap/>
            <w:vAlign w:val="bottom"/>
            <w:hideMark/>
          </w:tcPr>
          <w:p w:rsidR="00B461AB" w:rsidRPr="00B461AB" w:rsidRDefault="00B461AB" w:rsidP="00B461AB">
            <w:pPr>
              <w:pStyle w:val="TableHeader"/>
              <w:jc w:val="center"/>
            </w:pPr>
            <w:r w:rsidRPr="00B461AB">
              <w:t>Business as Usual</w:t>
            </w:r>
          </w:p>
        </w:tc>
        <w:tc>
          <w:tcPr>
            <w:tcW w:w="3264" w:type="dxa"/>
            <w:gridSpan w:val="2"/>
            <w:tcBorders>
              <w:top w:val="nil"/>
              <w:left w:val="nil"/>
              <w:bottom w:val="nil"/>
              <w:right w:val="nil"/>
            </w:tcBorders>
            <w:shd w:val="clear" w:color="auto" w:fill="auto"/>
            <w:noWrap/>
            <w:vAlign w:val="bottom"/>
            <w:hideMark/>
          </w:tcPr>
          <w:p w:rsidR="00B461AB" w:rsidRPr="00B461AB" w:rsidRDefault="00B461AB" w:rsidP="00B461AB">
            <w:pPr>
              <w:pStyle w:val="TableHeader"/>
              <w:jc w:val="center"/>
            </w:pPr>
            <w:r w:rsidRPr="00B461AB">
              <w:t>Strategic Portfolio</w:t>
            </w:r>
          </w:p>
        </w:tc>
      </w:tr>
      <w:tr w:rsidR="00B461AB" w:rsidRPr="00B461AB" w:rsidTr="00B461AB">
        <w:trPr>
          <w:trHeight w:val="300"/>
        </w:trPr>
        <w:tc>
          <w:tcPr>
            <w:tcW w:w="2832" w:type="dxa"/>
            <w:tcBorders>
              <w:top w:val="nil"/>
              <w:left w:val="nil"/>
              <w:bottom w:val="nil"/>
              <w:right w:val="nil"/>
            </w:tcBorders>
            <w:shd w:val="clear" w:color="auto" w:fill="auto"/>
            <w:noWrap/>
            <w:vAlign w:val="bottom"/>
            <w:hideMark/>
          </w:tcPr>
          <w:p w:rsidR="00B461AB" w:rsidRPr="00B461AB" w:rsidRDefault="00B461AB" w:rsidP="00B461AB">
            <w:pPr>
              <w:pStyle w:val="TableHeader"/>
              <w:rPr>
                <w:rFonts w:ascii="Calibri" w:hAnsi="Calibri" w:cs="Calibri"/>
                <w:color w:val="000000"/>
                <w:sz w:val="22"/>
                <w:szCs w:val="22"/>
              </w:rPr>
            </w:pPr>
          </w:p>
        </w:tc>
        <w:tc>
          <w:tcPr>
            <w:tcW w:w="1387" w:type="dxa"/>
            <w:tcBorders>
              <w:top w:val="nil"/>
              <w:left w:val="nil"/>
              <w:bottom w:val="nil"/>
              <w:right w:val="nil"/>
            </w:tcBorders>
            <w:shd w:val="clear" w:color="auto" w:fill="auto"/>
            <w:noWrap/>
            <w:vAlign w:val="bottom"/>
            <w:hideMark/>
          </w:tcPr>
          <w:p w:rsidR="00B461AB" w:rsidRPr="00B461AB" w:rsidRDefault="00B461AB" w:rsidP="00B461AB">
            <w:pPr>
              <w:pStyle w:val="TableHeader"/>
              <w:jc w:val="center"/>
            </w:pPr>
            <w:r w:rsidRPr="00B461AB">
              <w:t>Annual Savings (MWh)</w:t>
            </w:r>
          </w:p>
        </w:tc>
        <w:tc>
          <w:tcPr>
            <w:tcW w:w="1877" w:type="dxa"/>
            <w:tcBorders>
              <w:top w:val="nil"/>
              <w:left w:val="nil"/>
              <w:bottom w:val="nil"/>
              <w:right w:val="nil"/>
            </w:tcBorders>
            <w:shd w:val="clear" w:color="auto" w:fill="auto"/>
            <w:noWrap/>
            <w:vAlign w:val="bottom"/>
            <w:hideMark/>
          </w:tcPr>
          <w:p w:rsidR="00B461AB" w:rsidRPr="00B461AB" w:rsidRDefault="00B461AB" w:rsidP="00B461AB">
            <w:pPr>
              <w:pStyle w:val="TableHeader"/>
              <w:jc w:val="center"/>
            </w:pPr>
            <w:r w:rsidRPr="00B461AB">
              <w:t>Annual Expenditure (</w:t>
            </w:r>
            <w:r w:rsidR="002825E7">
              <w:t xml:space="preserve">in </w:t>
            </w:r>
            <w:r w:rsidR="00B04259">
              <w:t>thousands</w:t>
            </w:r>
            <w:r w:rsidRPr="00B461AB">
              <w:t>)</w:t>
            </w:r>
          </w:p>
        </w:tc>
        <w:tc>
          <w:tcPr>
            <w:tcW w:w="1387" w:type="dxa"/>
            <w:tcBorders>
              <w:top w:val="nil"/>
              <w:left w:val="nil"/>
              <w:bottom w:val="nil"/>
              <w:right w:val="nil"/>
            </w:tcBorders>
            <w:shd w:val="clear" w:color="auto" w:fill="auto"/>
            <w:noWrap/>
            <w:vAlign w:val="bottom"/>
            <w:hideMark/>
          </w:tcPr>
          <w:p w:rsidR="00B461AB" w:rsidRPr="00B461AB" w:rsidRDefault="00B461AB" w:rsidP="00B461AB">
            <w:pPr>
              <w:pStyle w:val="TableHeader"/>
              <w:jc w:val="center"/>
            </w:pPr>
            <w:r w:rsidRPr="00B461AB">
              <w:t>Annual Savings (MWh)</w:t>
            </w:r>
          </w:p>
        </w:tc>
        <w:tc>
          <w:tcPr>
            <w:tcW w:w="1877" w:type="dxa"/>
            <w:tcBorders>
              <w:top w:val="nil"/>
              <w:left w:val="nil"/>
              <w:bottom w:val="nil"/>
              <w:right w:val="nil"/>
            </w:tcBorders>
            <w:shd w:val="clear" w:color="auto" w:fill="auto"/>
            <w:noWrap/>
            <w:vAlign w:val="bottom"/>
            <w:hideMark/>
          </w:tcPr>
          <w:p w:rsidR="00B461AB" w:rsidRPr="00B461AB" w:rsidRDefault="00B461AB" w:rsidP="00B461AB">
            <w:pPr>
              <w:pStyle w:val="TableHeader"/>
              <w:jc w:val="center"/>
            </w:pPr>
            <w:r w:rsidRPr="00B461AB">
              <w:t>Annual Expenditure (</w:t>
            </w:r>
            <w:r w:rsidR="002825E7">
              <w:t xml:space="preserve">in </w:t>
            </w:r>
            <w:r w:rsidR="00B04259">
              <w:t>thousands)</w:t>
            </w:r>
          </w:p>
        </w:tc>
      </w:tr>
      <w:tr w:rsidR="00B461AB" w:rsidRPr="00B461AB" w:rsidTr="00B461AB">
        <w:trPr>
          <w:trHeight w:val="300"/>
        </w:trPr>
        <w:tc>
          <w:tcPr>
            <w:tcW w:w="2832" w:type="dxa"/>
            <w:tcBorders>
              <w:top w:val="nil"/>
              <w:left w:val="nil"/>
              <w:bottom w:val="nil"/>
              <w:right w:val="nil"/>
            </w:tcBorders>
            <w:shd w:val="clear" w:color="auto" w:fill="auto"/>
            <w:noWrap/>
            <w:vAlign w:val="bottom"/>
            <w:hideMark/>
          </w:tcPr>
          <w:p w:rsidR="00B461AB" w:rsidRPr="00B461AB" w:rsidRDefault="00B461AB" w:rsidP="00B461AB">
            <w:pPr>
              <w:pStyle w:val="TableData"/>
            </w:pPr>
            <w:r w:rsidRPr="00B461AB">
              <w:t>High</w:t>
            </w:r>
            <w:r w:rsidR="002825E7">
              <w:t>-e</w:t>
            </w:r>
            <w:r w:rsidRPr="00B461AB">
              <w:t xml:space="preserve">fficiency </w:t>
            </w:r>
            <w:r w:rsidR="00DF2FF8">
              <w:t>p</w:t>
            </w:r>
            <w:r w:rsidRPr="00B461AB">
              <w:t>roducts</w:t>
            </w:r>
          </w:p>
        </w:tc>
        <w:tc>
          <w:tcPr>
            <w:tcW w:w="1387" w:type="dxa"/>
            <w:tcBorders>
              <w:top w:val="nil"/>
              <w:left w:val="nil"/>
              <w:bottom w:val="nil"/>
              <w:right w:val="nil"/>
            </w:tcBorders>
            <w:shd w:val="clear" w:color="auto" w:fill="auto"/>
            <w:noWrap/>
            <w:vAlign w:val="bottom"/>
            <w:hideMark/>
          </w:tcPr>
          <w:p w:rsidR="00B461AB" w:rsidRPr="00B461AB" w:rsidRDefault="00B461AB" w:rsidP="00B461AB">
            <w:pPr>
              <w:pStyle w:val="TableData"/>
              <w:jc w:val="center"/>
            </w:pPr>
            <w:r w:rsidRPr="00B461AB">
              <w:t>8,962</w:t>
            </w:r>
          </w:p>
        </w:tc>
        <w:tc>
          <w:tcPr>
            <w:tcW w:w="1877" w:type="dxa"/>
            <w:tcBorders>
              <w:top w:val="nil"/>
              <w:left w:val="nil"/>
              <w:bottom w:val="nil"/>
              <w:right w:val="nil"/>
            </w:tcBorders>
            <w:shd w:val="clear" w:color="auto" w:fill="auto"/>
            <w:noWrap/>
            <w:vAlign w:val="bottom"/>
            <w:hideMark/>
          </w:tcPr>
          <w:p w:rsidR="00B461AB" w:rsidRPr="00B461AB" w:rsidRDefault="00B461AB" w:rsidP="00B461AB">
            <w:pPr>
              <w:pStyle w:val="TableData"/>
              <w:jc w:val="center"/>
            </w:pPr>
            <w:r w:rsidRPr="00B461AB">
              <w:t>$1,364</w:t>
            </w:r>
          </w:p>
        </w:tc>
        <w:tc>
          <w:tcPr>
            <w:tcW w:w="1387" w:type="dxa"/>
            <w:tcBorders>
              <w:top w:val="nil"/>
              <w:left w:val="nil"/>
              <w:bottom w:val="nil"/>
              <w:right w:val="nil"/>
            </w:tcBorders>
            <w:shd w:val="clear" w:color="auto" w:fill="auto"/>
            <w:noWrap/>
            <w:vAlign w:val="bottom"/>
            <w:hideMark/>
          </w:tcPr>
          <w:p w:rsidR="00B461AB" w:rsidRPr="00B461AB" w:rsidRDefault="00B461AB" w:rsidP="00B461AB">
            <w:pPr>
              <w:pStyle w:val="TableData"/>
              <w:jc w:val="center"/>
            </w:pPr>
            <w:r w:rsidRPr="00B461AB">
              <w:t>10,754</w:t>
            </w:r>
          </w:p>
        </w:tc>
        <w:tc>
          <w:tcPr>
            <w:tcW w:w="1877" w:type="dxa"/>
            <w:tcBorders>
              <w:top w:val="nil"/>
              <w:left w:val="nil"/>
              <w:bottom w:val="nil"/>
              <w:right w:val="nil"/>
            </w:tcBorders>
            <w:shd w:val="clear" w:color="auto" w:fill="auto"/>
            <w:noWrap/>
            <w:vAlign w:val="bottom"/>
            <w:hideMark/>
          </w:tcPr>
          <w:p w:rsidR="00B461AB" w:rsidRPr="00B461AB" w:rsidRDefault="00B461AB" w:rsidP="00B461AB">
            <w:pPr>
              <w:pStyle w:val="TableData"/>
              <w:jc w:val="center"/>
            </w:pPr>
            <w:r w:rsidRPr="00B461AB">
              <w:t>$1,773</w:t>
            </w:r>
          </w:p>
        </w:tc>
      </w:tr>
      <w:tr w:rsidR="00B461AB" w:rsidRPr="00B461AB" w:rsidTr="00B461AB">
        <w:trPr>
          <w:trHeight w:val="300"/>
        </w:trPr>
        <w:tc>
          <w:tcPr>
            <w:tcW w:w="2832" w:type="dxa"/>
            <w:tcBorders>
              <w:top w:val="nil"/>
              <w:left w:val="nil"/>
              <w:bottom w:val="nil"/>
              <w:right w:val="nil"/>
            </w:tcBorders>
            <w:shd w:val="clear" w:color="auto" w:fill="auto"/>
            <w:noWrap/>
            <w:vAlign w:val="bottom"/>
            <w:hideMark/>
          </w:tcPr>
          <w:p w:rsidR="00B461AB" w:rsidRPr="00B461AB" w:rsidRDefault="00B461AB" w:rsidP="00B461AB">
            <w:pPr>
              <w:pStyle w:val="TableData"/>
            </w:pPr>
            <w:r w:rsidRPr="00B461AB">
              <w:t xml:space="preserve">Residential </w:t>
            </w:r>
            <w:r w:rsidR="00DF2FF8">
              <w:t>e</w:t>
            </w:r>
            <w:r w:rsidRPr="00B461AB">
              <w:t xml:space="preserve">quipment and </w:t>
            </w:r>
            <w:r w:rsidR="00DF2FF8">
              <w:t>e</w:t>
            </w:r>
            <w:r w:rsidRPr="00B461AB">
              <w:t xml:space="preserve">nvelope </w:t>
            </w:r>
            <w:r w:rsidR="00DF2FF8">
              <w:t>u</w:t>
            </w:r>
            <w:r w:rsidRPr="00B461AB">
              <w:t>pgrades</w:t>
            </w:r>
          </w:p>
        </w:tc>
        <w:tc>
          <w:tcPr>
            <w:tcW w:w="1387" w:type="dxa"/>
            <w:tcBorders>
              <w:top w:val="nil"/>
              <w:left w:val="nil"/>
              <w:bottom w:val="nil"/>
              <w:right w:val="nil"/>
            </w:tcBorders>
            <w:shd w:val="clear" w:color="auto" w:fill="auto"/>
            <w:noWrap/>
            <w:vAlign w:val="bottom"/>
            <w:hideMark/>
          </w:tcPr>
          <w:p w:rsidR="00B461AB" w:rsidRPr="00B461AB" w:rsidRDefault="00B461AB" w:rsidP="00B461AB">
            <w:pPr>
              <w:pStyle w:val="TableData"/>
              <w:jc w:val="center"/>
            </w:pPr>
            <w:r w:rsidRPr="00B461AB">
              <w:t>1,677</w:t>
            </w:r>
          </w:p>
        </w:tc>
        <w:tc>
          <w:tcPr>
            <w:tcW w:w="1877" w:type="dxa"/>
            <w:tcBorders>
              <w:top w:val="nil"/>
              <w:left w:val="nil"/>
              <w:bottom w:val="nil"/>
              <w:right w:val="nil"/>
            </w:tcBorders>
            <w:shd w:val="clear" w:color="auto" w:fill="auto"/>
            <w:noWrap/>
            <w:vAlign w:val="bottom"/>
            <w:hideMark/>
          </w:tcPr>
          <w:p w:rsidR="00B461AB" w:rsidRPr="00B461AB" w:rsidRDefault="00B461AB" w:rsidP="00B461AB">
            <w:pPr>
              <w:pStyle w:val="TableData"/>
              <w:jc w:val="center"/>
            </w:pPr>
            <w:r w:rsidRPr="00B461AB">
              <w:t>$714</w:t>
            </w:r>
          </w:p>
        </w:tc>
        <w:tc>
          <w:tcPr>
            <w:tcW w:w="1387" w:type="dxa"/>
            <w:tcBorders>
              <w:top w:val="nil"/>
              <w:left w:val="nil"/>
              <w:bottom w:val="nil"/>
              <w:right w:val="nil"/>
            </w:tcBorders>
            <w:shd w:val="clear" w:color="auto" w:fill="auto"/>
            <w:noWrap/>
            <w:vAlign w:val="bottom"/>
            <w:hideMark/>
          </w:tcPr>
          <w:p w:rsidR="00B461AB" w:rsidRPr="00B461AB" w:rsidRDefault="00B461AB" w:rsidP="00B461AB">
            <w:pPr>
              <w:pStyle w:val="TableData"/>
              <w:jc w:val="center"/>
            </w:pPr>
            <w:r w:rsidRPr="00B461AB">
              <w:t>1,845</w:t>
            </w:r>
          </w:p>
        </w:tc>
        <w:tc>
          <w:tcPr>
            <w:tcW w:w="1877" w:type="dxa"/>
            <w:tcBorders>
              <w:top w:val="nil"/>
              <w:left w:val="nil"/>
              <w:bottom w:val="nil"/>
              <w:right w:val="nil"/>
            </w:tcBorders>
            <w:shd w:val="clear" w:color="auto" w:fill="auto"/>
            <w:noWrap/>
            <w:vAlign w:val="bottom"/>
            <w:hideMark/>
          </w:tcPr>
          <w:p w:rsidR="00B461AB" w:rsidRPr="00B461AB" w:rsidRDefault="00B461AB" w:rsidP="00B461AB">
            <w:pPr>
              <w:pStyle w:val="TableData"/>
              <w:jc w:val="center"/>
            </w:pPr>
            <w:r w:rsidRPr="00B461AB">
              <w:t>$857</w:t>
            </w:r>
          </w:p>
        </w:tc>
      </w:tr>
      <w:tr w:rsidR="00B461AB" w:rsidRPr="00B461AB" w:rsidTr="00B461AB">
        <w:trPr>
          <w:trHeight w:val="300"/>
        </w:trPr>
        <w:tc>
          <w:tcPr>
            <w:tcW w:w="2832" w:type="dxa"/>
            <w:tcBorders>
              <w:top w:val="nil"/>
              <w:left w:val="nil"/>
              <w:bottom w:val="nil"/>
              <w:right w:val="nil"/>
            </w:tcBorders>
            <w:shd w:val="clear" w:color="auto" w:fill="auto"/>
            <w:noWrap/>
            <w:vAlign w:val="bottom"/>
            <w:hideMark/>
          </w:tcPr>
          <w:p w:rsidR="00B461AB" w:rsidRPr="00B461AB" w:rsidRDefault="00B461AB" w:rsidP="00B461AB">
            <w:pPr>
              <w:pStyle w:val="TableData"/>
            </w:pPr>
            <w:r w:rsidRPr="00B461AB">
              <w:t>Direct</w:t>
            </w:r>
            <w:r w:rsidR="009D0B90">
              <w:t>-d</w:t>
            </w:r>
            <w:r w:rsidRPr="00B461AB">
              <w:t xml:space="preserve">elivery </w:t>
            </w:r>
            <w:r w:rsidR="00DF2FF8">
              <w:t>p</w:t>
            </w:r>
            <w:r w:rsidRPr="00B461AB">
              <w:t xml:space="preserve">rograms </w:t>
            </w:r>
          </w:p>
        </w:tc>
        <w:tc>
          <w:tcPr>
            <w:tcW w:w="1387" w:type="dxa"/>
            <w:tcBorders>
              <w:top w:val="nil"/>
              <w:left w:val="nil"/>
              <w:bottom w:val="nil"/>
              <w:right w:val="nil"/>
            </w:tcBorders>
            <w:shd w:val="clear" w:color="auto" w:fill="auto"/>
            <w:noWrap/>
            <w:vAlign w:val="bottom"/>
            <w:hideMark/>
          </w:tcPr>
          <w:p w:rsidR="00B461AB" w:rsidRPr="00B461AB" w:rsidRDefault="00B461AB" w:rsidP="00B461AB">
            <w:pPr>
              <w:pStyle w:val="TableData"/>
              <w:jc w:val="center"/>
            </w:pPr>
            <w:r w:rsidRPr="00B461AB">
              <w:t>2,406</w:t>
            </w:r>
          </w:p>
        </w:tc>
        <w:tc>
          <w:tcPr>
            <w:tcW w:w="1877" w:type="dxa"/>
            <w:tcBorders>
              <w:top w:val="nil"/>
              <w:left w:val="nil"/>
              <w:bottom w:val="nil"/>
              <w:right w:val="nil"/>
            </w:tcBorders>
            <w:shd w:val="clear" w:color="auto" w:fill="auto"/>
            <w:noWrap/>
            <w:vAlign w:val="bottom"/>
            <w:hideMark/>
          </w:tcPr>
          <w:p w:rsidR="00B461AB" w:rsidRPr="00B461AB" w:rsidRDefault="00B461AB" w:rsidP="00B461AB">
            <w:pPr>
              <w:pStyle w:val="TableData"/>
              <w:jc w:val="center"/>
            </w:pPr>
            <w:r w:rsidRPr="00B461AB">
              <w:t>$697</w:t>
            </w:r>
          </w:p>
        </w:tc>
        <w:tc>
          <w:tcPr>
            <w:tcW w:w="1387" w:type="dxa"/>
            <w:tcBorders>
              <w:top w:val="nil"/>
              <w:left w:val="nil"/>
              <w:bottom w:val="nil"/>
              <w:right w:val="nil"/>
            </w:tcBorders>
            <w:shd w:val="clear" w:color="auto" w:fill="auto"/>
            <w:noWrap/>
            <w:vAlign w:val="bottom"/>
            <w:hideMark/>
          </w:tcPr>
          <w:p w:rsidR="00B461AB" w:rsidRPr="00B461AB" w:rsidRDefault="00B461AB" w:rsidP="00B461AB">
            <w:pPr>
              <w:pStyle w:val="TableData"/>
              <w:jc w:val="center"/>
            </w:pPr>
            <w:r w:rsidRPr="00B461AB">
              <w:t>2,587</w:t>
            </w:r>
          </w:p>
        </w:tc>
        <w:tc>
          <w:tcPr>
            <w:tcW w:w="1877" w:type="dxa"/>
            <w:tcBorders>
              <w:top w:val="nil"/>
              <w:left w:val="nil"/>
              <w:bottom w:val="nil"/>
              <w:right w:val="nil"/>
            </w:tcBorders>
            <w:shd w:val="clear" w:color="auto" w:fill="auto"/>
            <w:noWrap/>
            <w:vAlign w:val="bottom"/>
            <w:hideMark/>
          </w:tcPr>
          <w:p w:rsidR="00B461AB" w:rsidRPr="00B461AB" w:rsidRDefault="00B461AB" w:rsidP="00B461AB">
            <w:pPr>
              <w:pStyle w:val="TableData"/>
              <w:jc w:val="center"/>
            </w:pPr>
            <w:r w:rsidRPr="00B461AB">
              <w:t>$751</w:t>
            </w:r>
          </w:p>
        </w:tc>
      </w:tr>
      <w:tr w:rsidR="00B461AB" w:rsidRPr="00B461AB" w:rsidTr="00B461AB">
        <w:trPr>
          <w:trHeight w:val="300"/>
        </w:trPr>
        <w:tc>
          <w:tcPr>
            <w:tcW w:w="2832" w:type="dxa"/>
            <w:tcBorders>
              <w:top w:val="nil"/>
              <w:left w:val="nil"/>
              <w:bottom w:val="nil"/>
              <w:right w:val="nil"/>
            </w:tcBorders>
            <w:shd w:val="clear" w:color="auto" w:fill="auto"/>
            <w:noWrap/>
            <w:vAlign w:val="bottom"/>
            <w:hideMark/>
          </w:tcPr>
          <w:p w:rsidR="00B461AB" w:rsidRPr="00B461AB" w:rsidRDefault="00DF2FF8" w:rsidP="00B461AB">
            <w:pPr>
              <w:pStyle w:val="TableData"/>
            </w:pPr>
            <w:r>
              <w:t>i</w:t>
            </w:r>
            <w:r w:rsidR="00B461AB" w:rsidRPr="00B461AB">
              <w:t xml:space="preserve">nformation and </w:t>
            </w:r>
            <w:r>
              <w:t>e</w:t>
            </w:r>
            <w:r w:rsidR="00B461AB" w:rsidRPr="00B461AB">
              <w:t xml:space="preserve">ducation </w:t>
            </w:r>
            <w:r>
              <w:t>s</w:t>
            </w:r>
            <w:r w:rsidR="00B461AB" w:rsidRPr="00B461AB">
              <w:t>ervices</w:t>
            </w:r>
          </w:p>
        </w:tc>
        <w:tc>
          <w:tcPr>
            <w:tcW w:w="1387" w:type="dxa"/>
            <w:tcBorders>
              <w:top w:val="nil"/>
              <w:left w:val="nil"/>
              <w:bottom w:val="nil"/>
              <w:right w:val="nil"/>
            </w:tcBorders>
            <w:shd w:val="clear" w:color="auto" w:fill="auto"/>
            <w:noWrap/>
            <w:vAlign w:val="bottom"/>
            <w:hideMark/>
          </w:tcPr>
          <w:p w:rsidR="00B461AB" w:rsidRPr="00B461AB" w:rsidRDefault="00B461AB" w:rsidP="00B461AB">
            <w:pPr>
              <w:pStyle w:val="TableData"/>
              <w:jc w:val="center"/>
            </w:pPr>
            <w:r w:rsidRPr="00B461AB">
              <w:t>882</w:t>
            </w:r>
          </w:p>
        </w:tc>
        <w:tc>
          <w:tcPr>
            <w:tcW w:w="1877" w:type="dxa"/>
            <w:tcBorders>
              <w:top w:val="nil"/>
              <w:left w:val="nil"/>
              <w:bottom w:val="nil"/>
              <w:right w:val="nil"/>
            </w:tcBorders>
            <w:shd w:val="clear" w:color="auto" w:fill="auto"/>
            <w:noWrap/>
            <w:vAlign w:val="bottom"/>
            <w:hideMark/>
          </w:tcPr>
          <w:p w:rsidR="00B461AB" w:rsidRPr="00B461AB" w:rsidRDefault="00B461AB" w:rsidP="00B461AB">
            <w:pPr>
              <w:pStyle w:val="TableData"/>
              <w:jc w:val="center"/>
            </w:pPr>
            <w:r w:rsidRPr="00B461AB">
              <w:t>$232</w:t>
            </w:r>
          </w:p>
        </w:tc>
        <w:tc>
          <w:tcPr>
            <w:tcW w:w="1387" w:type="dxa"/>
            <w:tcBorders>
              <w:top w:val="nil"/>
              <w:left w:val="nil"/>
              <w:bottom w:val="nil"/>
              <w:right w:val="nil"/>
            </w:tcBorders>
            <w:shd w:val="clear" w:color="auto" w:fill="auto"/>
            <w:noWrap/>
            <w:vAlign w:val="bottom"/>
            <w:hideMark/>
          </w:tcPr>
          <w:p w:rsidR="00B461AB" w:rsidRPr="00B461AB" w:rsidRDefault="00B461AB" w:rsidP="00B461AB">
            <w:pPr>
              <w:pStyle w:val="TableData"/>
              <w:jc w:val="center"/>
            </w:pPr>
            <w:r w:rsidRPr="00B461AB">
              <w:t>1,234</w:t>
            </w:r>
          </w:p>
        </w:tc>
        <w:tc>
          <w:tcPr>
            <w:tcW w:w="1877" w:type="dxa"/>
            <w:tcBorders>
              <w:top w:val="nil"/>
              <w:left w:val="nil"/>
              <w:bottom w:val="nil"/>
              <w:right w:val="nil"/>
            </w:tcBorders>
            <w:shd w:val="clear" w:color="auto" w:fill="auto"/>
            <w:noWrap/>
            <w:vAlign w:val="bottom"/>
            <w:hideMark/>
          </w:tcPr>
          <w:p w:rsidR="00B461AB" w:rsidRPr="00B461AB" w:rsidRDefault="00B461AB" w:rsidP="00B461AB">
            <w:pPr>
              <w:pStyle w:val="TableData"/>
              <w:jc w:val="center"/>
            </w:pPr>
            <w:r w:rsidRPr="00B461AB">
              <w:t>$301</w:t>
            </w:r>
          </w:p>
        </w:tc>
      </w:tr>
      <w:tr w:rsidR="00B461AB" w:rsidRPr="00B461AB" w:rsidTr="00B461AB">
        <w:trPr>
          <w:trHeight w:val="300"/>
        </w:trPr>
        <w:tc>
          <w:tcPr>
            <w:tcW w:w="2832" w:type="dxa"/>
            <w:tcBorders>
              <w:top w:val="nil"/>
              <w:left w:val="nil"/>
              <w:bottom w:val="nil"/>
              <w:right w:val="nil"/>
            </w:tcBorders>
            <w:shd w:val="clear" w:color="auto" w:fill="auto"/>
            <w:noWrap/>
            <w:vAlign w:val="bottom"/>
            <w:hideMark/>
          </w:tcPr>
          <w:p w:rsidR="00B461AB" w:rsidRPr="00B461AB" w:rsidRDefault="00B461AB" w:rsidP="00B461AB">
            <w:pPr>
              <w:pStyle w:val="TableData"/>
            </w:pPr>
            <w:r w:rsidRPr="00B461AB">
              <w:t xml:space="preserve">Commercial and </w:t>
            </w:r>
            <w:r w:rsidR="00DF2FF8">
              <w:t>i</w:t>
            </w:r>
            <w:r w:rsidRPr="00B461AB">
              <w:t xml:space="preserve">ndustrial </w:t>
            </w:r>
            <w:r w:rsidR="00DF2FF8">
              <w:t>p</w:t>
            </w:r>
            <w:r w:rsidRPr="00B461AB">
              <w:t>ortfolio</w:t>
            </w:r>
          </w:p>
        </w:tc>
        <w:tc>
          <w:tcPr>
            <w:tcW w:w="1387" w:type="dxa"/>
            <w:tcBorders>
              <w:top w:val="nil"/>
              <w:left w:val="nil"/>
              <w:bottom w:val="nil"/>
              <w:right w:val="nil"/>
            </w:tcBorders>
            <w:shd w:val="clear" w:color="auto" w:fill="auto"/>
            <w:noWrap/>
            <w:vAlign w:val="bottom"/>
            <w:hideMark/>
          </w:tcPr>
          <w:p w:rsidR="00B461AB" w:rsidRPr="00B461AB" w:rsidRDefault="00B461AB" w:rsidP="00B461AB">
            <w:pPr>
              <w:pStyle w:val="TableData"/>
              <w:jc w:val="center"/>
            </w:pPr>
            <w:r w:rsidRPr="00B461AB">
              <w:t>17,681</w:t>
            </w:r>
          </w:p>
        </w:tc>
        <w:tc>
          <w:tcPr>
            <w:tcW w:w="1877" w:type="dxa"/>
            <w:tcBorders>
              <w:top w:val="nil"/>
              <w:left w:val="nil"/>
              <w:bottom w:val="nil"/>
              <w:right w:val="nil"/>
            </w:tcBorders>
            <w:shd w:val="clear" w:color="auto" w:fill="auto"/>
            <w:noWrap/>
            <w:vAlign w:val="bottom"/>
            <w:hideMark/>
          </w:tcPr>
          <w:p w:rsidR="00B461AB" w:rsidRPr="00B461AB" w:rsidRDefault="00B461AB" w:rsidP="00B461AB">
            <w:pPr>
              <w:pStyle w:val="TableData"/>
              <w:jc w:val="center"/>
            </w:pPr>
            <w:r w:rsidRPr="00B461AB">
              <w:t>$2,840</w:t>
            </w:r>
          </w:p>
        </w:tc>
        <w:tc>
          <w:tcPr>
            <w:tcW w:w="1387" w:type="dxa"/>
            <w:tcBorders>
              <w:top w:val="nil"/>
              <w:left w:val="nil"/>
              <w:bottom w:val="nil"/>
              <w:right w:val="nil"/>
            </w:tcBorders>
            <w:shd w:val="clear" w:color="auto" w:fill="auto"/>
            <w:noWrap/>
            <w:vAlign w:val="bottom"/>
            <w:hideMark/>
          </w:tcPr>
          <w:p w:rsidR="00B461AB" w:rsidRPr="00B461AB" w:rsidRDefault="00B461AB" w:rsidP="00B461AB">
            <w:pPr>
              <w:pStyle w:val="TableData"/>
              <w:jc w:val="center"/>
            </w:pPr>
            <w:r w:rsidRPr="00B461AB">
              <w:t>20,156</w:t>
            </w:r>
          </w:p>
        </w:tc>
        <w:tc>
          <w:tcPr>
            <w:tcW w:w="1877" w:type="dxa"/>
            <w:tcBorders>
              <w:top w:val="nil"/>
              <w:left w:val="nil"/>
              <w:bottom w:val="nil"/>
              <w:right w:val="nil"/>
            </w:tcBorders>
            <w:shd w:val="clear" w:color="auto" w:fill="auto"/>
            <w:noWrap/>
            <w:vAlign w:val="bottom"/>
            <w:hideMark/>
          </w:tcPr>
          <w:p w:rsidR="00B461AB" w:rsidRPr="00B461AB" w:rsidRDefault="00B461AB" w:rsidP="00B461AB">
            <w:pPr>
              <w:pStyle w:val="TableData"/>
              <w:jc w:val="center"/>
            </w:pPr>
            <w:r w:rsidRPr="00B461AB">
              <w:t>$3,777</w:t>
            </w:r>
          </w:p>
        </w:tc>
      </w:tr>
      <w:tr w:rsidR="00B461AB" w:rsidRPr="00B461AB" w:rsidTr="00B461AB">
        <w:trPr>
          <w:trHeight w:val="300"/>
        </w:trPr>
        <w:tc>
          <w:tcPr>
            <w:tcW w:w="2832" w:type="dxa"/>
            <w:tcBorders>
              <w:top w:val="nil"/>
              <w:left w:val="nil"/>
              <w:bottom w:val="nil"/>
              <w:right w:val="nil"/>
            </w:tcBorders>
            <w:shd w:val="clear" w:color="auto" w:fill="auto"/>
            <w:noWrap/>
            <w:vAlign w:val="bottom"/>
            <w:hideMark/>
          </w:tcPr>
          <w:p w:rsidR="00B461AB" w:rsidRPr="00B461AB" w:rsidRDefault="00B461AB" w:rsidP="00B461AB">
            <w:pPr>
              <w:pStyle w:val="TableData"/>
            </w:pPr>
            <w:r w:rsidRPr="00B461AB">
              <w:t xml:space="preserve">Pilot </w:t>
            </w:r>
            <w:r w:rsidR="00DF2FF8">
              <w:t>p</w:t>
            </w:r>
            <w:r w:rsidRPr="00B461AB">
              <w:t>rograms</w:t>
            </w:r>
          </w:p>
        </w:tc>
        <w:tc>
          <w:tcPr>
            <w:tcW w:w="1387" w:type="dxa"/>
            <w:tcBorders>
              <w:top w:val="nil"/>
              <w:left w:val="nil"/>
              <w:bottom w:val="nil"/>
              <w:right w:val="nil"/>
            </w:tcBorders>
            <w:shd w:val="clear" w:color="auto" w:fill="auto"/>
            <w:noWrap/>
            <w:vAlign w:val="bottom"/>
            <w:hideMark/>
          </w:tcPr>
          <w:p w:rsidR="00B461AB" w:rsidRPr="00B461AB" w:rsidRDefault="00B461AB" w:rsidP="00B461AB">
            <w:pPr>
              <w:pStyle w:val="TableData"/>
              <w:jc w:val="center"/>
            </w:pPr>
            <w:r w:rsidRPr="00B461AB">
              <w:t>1,217</w:t>
            </w:r>
          </w:p>
        </w:tc>
        <w:tc>
          <w:tcPr>
            <w:tcW w:w="1877" w:type="dxa"/>
            <w:tcBorders>
              <w:top w:val="nil"/>
              <w:left w:val="nil"/>
              <w:bottom w:val="nil"/>
              <w:right w:val="nil"/>
            </w:tcBorders>
            <w:shd w:val="clear" w:color="auto" w:fill="auto"/>
            <w:noWrap/>
            <w:vAlign w:val="bottom"/>
            <w:hideMark/>
          </w:tcPr>
          <w:p w:rsidR="00B461AB" w:rsidRPr="00B461AB" w:rsidRDefault="00B461AB" w:rsidP="00B461AB">
            <w:pPr>
              <w:pStyle w:val="TableData"/>
              <w:jc w:val="center"/>
            </w:pPr>
            <w:r w:rsidRPr="00B461AB">
              <w:t>$330</w:t>
            </w:r>
          </w:p>
        </w:tc>
        <w:tc>
          <w:tcPr>
            <w:tcW w:w="1387" w:type="dxa"/>
            <w:tcBorders>
              <w:top w:val="nil"/>
              <w:left w:val="nil"/>
              <w:bottom w:val="nil"/>
              <w:right w:val="nil"/>
            </w:tcBorders>
            <w:shd w:val="clear" w:color="auto" w:fill="auto"/>
            <w:noWrap/>
            <w:vAlign w:val="bottom"/>
            <w:hideMark/>
          </w:tcPr>
          <w:p w:rsidR="00B461AB" w:rsidRPr="00B461AB" w:rsidRDefault="00B461AB" w:rsidP="00B461AB">
            <w:pPr>
              <w:pStyle w:val="TableData"/>
              <w:jc w:val="center"/>
            </w:pPr>
            <w:r w:rsidRPr="00B461AB">
              <w:t>1,217</w:t>
            </w:r>
          </w:p>
        </w:tc>
        <w:tc>
          <w:tcPr>
            <w:tcW w:w="1877" w:type="dxa"/>
            <w:tcBorders>
              <w:top w:val="nil"/>
              <w:left w:val="nil"/>
              <w:bottom w:val="nil"/>
              <w:right w:val="nil"/>
            </w:tcBorders>
            <w:shd w:val="clear" w:color="auto" w:fill="auto"/>
            <w:noWrap/>
            <w:vAlign w:val="bottom"/>
            <w:hideMark/>
          </w:tcPr>
          <w:p w:rsidR="00B461AB" w:rsidRPr="00B461AB" w:rsidRDefault="00B461AB" w:rsidP="00B461AB">
            <w:pPr>
              <w:pStyle w:val="TableData"/>
              <w:jc w:val="center"/>
            </w:pPr>
            <w:r w:rsidRPr="00B461AB">
              <w:t>$330</w:t>
            </w:r>
          </w:p>
        </w:tc>
      </w:tr>
      <w:tr w:rsidR="00B461AB" w:rsidRPr="00B461AB" w:rsidTr="00B461AB">
        <w:trPr>
          <w:trHeight w:val="300"/>
        </w:trPr>
        <w:tc>
          <w:tcPr>
            <w:tcW w:w="2832" w:type="dxa"/>
            <w:tcBorders>
              <w:top w:val="nil"/>
              <w:left w:val="nil"/>
              <w:bottom w:val="nil"/>
              <w:right w:val="nil"/>
            </w:tcBorders>
            <w:shd w:val="clear" w:color="auto" w:fill="auto"/>
            <w:noWrap/>
            <w:vAlign w:val="bottom"/>
            <w:hideMark/>
          </w:tcPr>
          <w:p w:rsidR="00B461AB" w:rsidRPr="00B461AB" w:rsidRDefault="00B461AB" w:rsidP="00B461AB">
            <w:pPr>
              <w:pStyle w:val="TableData"/>
              <w:rPr>
                <w:b/>
              </w:rPr>
            </w:pPr>
            <w:r w:rsidRPr="00B461AB">
              <w:rPr>
                <w:b/>
              </w:rPr>
              <w:t>Total</w:t>
            </w:r>
          </w:p>
        </w:tc>
        <w:tc>
          <w:tcPr>
            <w:tcW w:w="1387" w:type="dxa"/>
            <w:tcBorders>
              <w:top w:val="nil"/>
              <w:left w:val="nil"/>
              <w:bottom w:val="nil"/>
              <w:right w:val="nil"/>
            </w:tcBorders>
            <w:shd w:val="clear" w:color="auto" w:fill="auto"/>
            <w:noWrap/>
            <w:vAlign w:val="bottom"/>
            <w:hideMark/>
          </w:tcPr>
          <w:p w:rsidR="00B461AB" w:rsidRPr="00B461AB" w:rsidRDefault="00B461AB" w:rsidP="00B461AB">
            <w:pPr>
              <w:pStyle w:val="TableData"/>
              <w:jc w:val="center"/>
              <w:rPr>
                <w:b/>
              </w:rPr>
            </w:pPr>
            <w:r w:rsidRPr="00B461AB">
              <w:rPr>
                <w:b/>
              </w:rPr>
              <w:t>32,</w:t>
            </w:r>
            <w:r w:rsidR="00BB2AF9" w:rsidRPr="00B461AB">
              <w:rPr>
                <w:b/>
              </w:rPr>
              <w:t>82</w:t>
            </w:r>
            <w:r w:rsidR="00BB2AF9">
              <w:rPr>
                <w:b/>
              </w:rPr>
              <w:t>5</w:t>
            </w:r>
          </w:p>
        </w:tc>
        <w:tc>
          <w:tcPr>
            <w:tcW w:w="1877" w:type="dxa"/>
            <w:tcBorders>
              <w:top w:val="nil"/>
              <w:left w:val="nil"/>
              <w:bottom w:val="nil"/>
              <w:right w:val="nil"/>
            </w:tcBorders>
            <w:shd w:val="clear" w:color="auto" w:fill="auto"/>
            <w:noWrap/>
            <w:vAlign w:val="bottom"/>
            <w:hideMark/>
          </w:tcPr>
          <w:p w:rsidR="00B461AB" w:rsidRPr="00B461AB" w:rsidRDefault="00D42C51" w:rsidP="00B461AB">
            <w:pPr>
              <w:pStyle w:val="TableData"/>
              <w:jc w:val="center"/>
              <w:rPr>
                <w:b/>
              </w:rPr>
            </w:pPr>
            <w:r>
              <w:rPr>
                <w:b/>
              </w:rPr>
              <w:t>$</w:t>
            </w:r>
            <w:r w:rsidR="00B461AB" w:rsidRPr="00B461AB">
              <w:rPr>
                <w:b/>
              </w:rPr>
              <w:t>6,177</w:t>
            </w:r>
          </w:p>
        </w:tc>
        <w:tc>
          <w:tcPr>
            <w:tcW w:w="1387" w:type="dxa"/>
            <w:tcBorders>
              <w:top w:val="nil"/>
              <w:left w:val="nil"/>
              <w:bottom w:val="nil"/>
              <w:right w:val="nil"/>
            </w:tcBorders>
            <w:shd w:val="clear" w:color="auto" w:fill="auto"/>
            <w:noWrap/>
            <w:vAlign w:val="bottom"/>
            <w:hideMark/>
          </w:tcPr>
          <w:p w:rsidR="00B461AB" w:rsidRPr="00B461AB" w:rsidRDefault="00B461AB" w:rsidP="00B461AB">
            <w:pPr>
              <w:pStyle w:val="TableData"/>
              <w:jc w:val="center"/>
              <w:rPr>
                <w:b/>
              </w:rPr>
            </w:pPr>
            <w:r w:rsidRPr="00B461AB">
              <w:rPr>
                <w:b/>
              </w:rPr>
              <w:t>37,</w:t>
            </w:r>
            <w:r w:rsidR="00BB2AF9" w:rsidRPr="00B461AB">
              <w:rPr>
                <w:b/>
              </w:rPr>
              <w:t>79</w:t>
            </w:r>
            <w:r w:rsidR="00BB2AF9">
              <w:rPr>
                <w:b/>
              </w:rPr>
              <w:t>3</w:t>
            </w:r>
          </w:p>
        </w:tc>
        <w:tc>
          <w:tcPr>
            <w:tcW w:w="1877" w:type="dxa"/>
            <w:tcBorders>
              <w:top w:val="nil"/>
              <w:left w:val="nil"/>
              <w:bottom w:val="nil"/>
              <w:right w:val="nil"/>
            </w:tcBorders>
            <w:shd w:val="clear" w:color="auto" w:fill="auto"/>
            <w:noWrap/>
            <w:vAlign w:val="bottom"/>
            <w:hideMark/>
          </w:tcPr>
          <w:p w:rsidR="00B461AB" w:rsidRPr="00B461AB" w:rsidRDefault="00D42C51" w:rsidP="00B461AB">
            <w:pPr>
              <w:pStyle w:val="TableData"/>
              <w:jc w:val="center"/>
              <w:rPr>
                <w:b/>
              </w:rPr>
            </w:pPr>
            <w:r>
              <w:rPr>
                <w:b/>
              </w:rPr>
              <w:t>$</w:t>
            </w:r>
            <w:r w:rsidR="00B461AB" w:rsidRPr="00B461AB">
              <w:rPr>
                <w:b/>
              </w:rPr>
              <w:t>7,</w:t>
            </w:r>
            <w:r w:rsidR="00BB2AF9" w:rsidRPr="00B461AB">
              <w:rPr>
                <w:b/>
              </w:rPr>
              <w:t>7</w:t>
            </w:r>
            <w:r w:rsidR="00BB2AF9">
              <w:rPr>
                <w:b/>
              </w:rPr>
              <w:t>89</w:t>
            </w:r>
          </w:p>
        </w:tc>
      </w:tr>
      <w:tr w:rsidR="006C387F" w:rsidRPr="00B461AB" w:rsidTr="00B461AB">
        <w:trPr>
          <w:trHeight w:val="300"/>
        </w:trPr>
        <w:tc>
          <w:tcPr>
            <w:tcW w:w="2832" w:type="dxa"/>
            <w:tcBorders>
              <w:top w:val="nil"/>
              <w:left w:val="nil"/>
              <w:bottom w:val="nil"/>
              <w:right w:val="nil"/>
            </w:tcBorders>
            <w:shd w:val="clear" w:color="auto" w:fill="auto"/>
            <w:noWrap/>
            <w:vAlign w:val="bottom"/>
          </w:tcPr>
          <w:p w:rsidR="006C387F" w:rsidRDefault="006C387F" w:rsidP="006C387F">
            <w:pPr>
              <w:pStyle w:val="TableData"/>
              <w:rPr>
                <w:b/>
              </w:rPr>
            </w:pPr>
          </w:p>
        </w:tc>
        <w:tc>
          <w:tcPr>
            <w:tcW w:w="3264" w:type="dxa"/>
            <w:gridSpan w:val="2"/>
            <w:tcBorders>
              <w:top w:val="nil"/>
              <w:left w:val="nil"/>
              <w:bottom w:val="nil"/>
              <w:right w:val="nil"/>
            </w:tcBorders>
            <w:shd w:val="clear" w:color="auto" w:fill="auto"/>
            <w:noWrap/>
            <w:vAlign w:val="bottom"/>
          </w:tcPr>
          <w:p w:rsidR="006C387F" w:rsidRPr="006C387F" w:rsidRDefault="006C387F" w:rsidP="006C387F">
            <w:pPr>
              <w:pStyle w:val="TableData"/>
              <w:jc w:val="center"/>
              <w:rPr>
                <w:b/>
              </w:rPr>
            </w:pPr>
            <w:r w:rsidRPr="006C387F">
              <w:rPr>
                <w:b/>
              </w:rPr>
              <w:t>Business as Usual</w:t>
            </w:r>
          </w:p>
        </w:tc>
        <w:tc>
          <w:tcPr>
            <w:tcW w:w="3264" w:type="dxa"/>
            <w:gridSpan w:val="2"/>
            <w:tcBorders>
              <w:top w:val="nil"/>
              <w:left w:val="nil"/>
              <w:bottom w:val="nil"/>
              <w:right w:val="nil"/>
            </w:tcBorders>
            <w:shd w:val="clear" w:color="auto" w:fill="auto"/>
            <w:noWrap/>
            <w:vAlign w:val="bottom"/>
          </w:tcPr>
          <w:p w:rsidR="006C387F" w:rsidRPr="006C387F" w:rsidRDefault="006C387F" w:rsidP="006C387F">
            <w:pPr>
              <w:pStyle w:val="TableData"/>
              <w:jc w:val="center"/>
              <w:rPr>
                <w:b/>
              </w:rPr>
            </w:pPr>
            <w:r w:rsidRPr="006C387F">
              <w:rPr>
                <w:b/>
              </w:rPr>
              <w:t>Strategic Portfolio</w:t>
            </w:r>
          </w:p>
        </w:tc>
      </w:tr>
      <w:tr w:rsidR="006C387F" w:rsidRPr="00B461AB" w:rsidTr="00B461AB">
        <w:trPr>
          <w:trHeight w:val="300"/>
        </w:trPr>
        <w:tc>
          <w:tcPr>
            <w:tcW w:w="2832" w:type="dxa"/>
            <w:tcBorders>
              <w:top w:val="nil"/>
              <w:left w:val="nil"/>
              <w:bottom w:val="nil"/>
              <w:right w:val="nil"/>
            </w:tcBorders>
            <w:shd w:val="clear" w:color="auto" w:fill="auto"/>
            <w:noWrap/>
            <w:vAlign w:val="bottom"/>
            <w:hideMark/>
          </w:tcPr>
          <w:p w:rsidR="006C387F" w:rsidRPr="00B461AB" w:rsidRDefault="006C387F" w:rsidP="006C387F">
            <w:pPr>
              <w:pStyle w:val="TableData"/>
              <w:rPr>
                <w:b/>
              </w:rPr>
            </w:pPr>
            <w:r>
              <w:rPr>
                <w:b/>
              </w:rPr>
              <w:t>Portfolio c</w:t>
            </w:r>
            <w:r w:rsidRPr="00B461AB">
              <w:rPr>
                <w:b/>
              </w:rPr>
              <w:t xml:space="preserve">ost of </w:t>
            </w:r>
            <w:r>
              <w:rPr>
                <w:b/>
              </w:rPr>
              <w:t>c</w:t>
            </w:r>
            <w:r w:rsidRPr="00B461AB">
              <w:rPr>
                <w:b/>
              </w:rPr>
              <w:t xml:space="preserve">onserved </w:t>
            </w:r>
            <w:r>
              <w:rPr>
                <w:b/>
              </w:rPr>
              <w:t>e</w:t>
            </w:r>
            <w:r w:rsidRPr="00B461AB">
              <w:rPr>
                <w:b/>
              </w:rPr>
              <w:t>nergy</w:t>
            </w:r>
            <w:r>
              <w:rPr>
                <w:b/>
              </w:rPr>
              <w:t xml:space="preserve"> per kWh</w:t>
            </w:r>
          </w:p>
        </w:tc>
        <w:tc>
          <w:tcPr>
            <w:tcW w:w="3264" w:type="dxa"/>
            <w:gridSpan w:val="2"/>
            <w:tcBorders>
              <w:top w:val="nil"/>
              <w:left w:val="nil"/>
              <w:bottom w:val="nil"/>
              <w:right w:val="nil"/>
            </w:tcBorders>
            <w:shd w:val="clear" w:color="auto" w:fill="auto"/>
            <w:noWrap/>
            <w:vAlign w:val="bottom"/>
            <w:hideMark/>
          </w:tcPr>
          <w:p w:rsidR="006C387F" w:rsidRPr="00B461AB" w:rsidRDefault="006C387F" w:rsidP="006C387F">
            <w:pPr>
              <w:pStyle w:val="TableData"/>
              <w:jc w:val="center"/>
              <w:rPr>
                <w:b/>
              </w:rPr>
            </w:pPr>
            <w:r w:rsidRPr="00B461AB">
              <w:rPr>
                <w:b/>
              </w:rPr>
              <w:t>$0.0259</w:t>
            </w:r>
          </w:p>
        </w:tc>
        <w:tc>
          <w:tcPr>
            <w:tcW w:w="3264" w:type="dxa"/>
            <w:gridSpan w:val="2"/>
            <w:tcBorders>
              <w:top w:val="nil"/>
              <w:left w:val="nil"/>
              <w:bottom w:val="nil"/>
              <w:right w:val="nil"/>
            </w:tcBorders>
            <w:shd w:val="clear" w:color="auto" w:fill="auto"/>
            <w:noWrap/>
            <w:vAlign w:val="bottom"/>
            <w:hideMark/>
          </w:tcPr>
          <w:p w:rsidR="006C387F" w:rsidRPr="00B461AB" w:rsidRDefault="006C387F" w:rsidP="006C387F">
            <w:pPr>
              <w:pStyle w:val="TableData"/>
              <w:jc w:val="center"/>
              <w:rPr>
                <w:b/>
              </w:rPr>
            </w:pPr>
            <w:r w:rsidRPr="00B461AB">
              <w:rPr>
                <w:b/>
              </w:rPr>
              <w:t>$0.0284</w:t>
            </w:r>
          </w:p>
        </w:tc>
      </w:tr>
      <w:tr w:rsidR="006C387F" w:rsidRPr="00B461AB" w:rsidTr="00B461AB">
        <w:trPr>
          <w:trHeight w:val="300"/>
        </w:trPr>
        <w:tc>
          <w:tcPr>
            <w:tcW w:w="2832" w:type="dxa"/>
            <w:tcBorders>
              <w:top w:val="nil"/>
              <w:left w:val="nil"/>
              <w:bottom w:val="nil"/>
              <w:right w:val="nil"/>
            </w:tcBorders>
            <w:shd w:val="clear" w:color="auto" w:fill="auto"/>
            <w:noWrap/>
            <w:vAlign w:val="bottom"/>
          </w:tcPr>
          <w:p w:rsidR="006C387F" w:rsidRPr="00B461AB" w:rsidRDefault="006C387F" w:rsidP="006C387F">
            <w:pPr>
              <w:pStyle w:val="TableData"/>
              <w:rPr>
                <w:b/>
              </w:rPr>
            </w:pPr>
            <w:r>
              <w:rPr>
                <w:b/>
              </w:rPr>
              <w:t>Portfolio benefit/cost ratio (utility cost test)</w:t>
            </w:r>
          </w:p>
        </w:tc>
        <w:tc>
          <w:tcPr>
            <w:tcW w:w="3264" w:type="dxa"/>
            <w:gridSpan w:val="2"/>
            <w:tcBorders>
              <w:top w:val="nil"/>
              <w:left w:val="nil"/>
              <w:bottom w:val="nil"/>
              <w:right w:val="nil"/>
            </w:tcBorders>
            <w:shd w:val="clear" w:color="auto" w:fill="auto"/>
            <w:noWrap/>
            <w:vAlign w:val="bottom"/>
          </w:tcPr>
          <w:p w:rsidR="006C387F" w:rsidRPr="00B461AB" w:rsidRDefault="006C387F" w:rsidP="006C387F">
            <w:pPr>
              <w:pStyle w:val="TableData"/>
              <w:jc w:val="center"/>
              <w:rPr>
                <w:b/>
              </w:rPr>
            </w:pPr>
            <w:r>
              <w:rPr>
                <w:b/>
              </w:rPr>
              <w:t>2.75</w:t>
            </w:r>
          </w:p>
        </w:tc>
        <w:tc>
          <w:tcPr>
            <w:tcW w:w="3264" w:type="dxa"/>
            <w:gridSpan w:val="2"/>
            <w:tcBorders>
              <w:top w:val="nil"/>
              <w:left w:val="nil"/>
              <w:bottom w:val="nil"/>
              <w:right w:val="nil"/>
            </w:tcBorders>
            <w:shd w:val="clear" w:color="auto" w:fill="auto"/>
            <w:noWrap/>
            <w:vAlign w:val="bottom"/>
          </w:tcPr>
          <w:p w:rsidR="006C387F" w:rsidRPr="00B461AB" w:rsidRDefault="006C387F" w:rsidP="006C387F">
            <w:pPr>
              <w:pStyle w:val="TableData"/>
              <w:jc w:val="center"/>
              <w:rPr>
                <w:b/>
              </w:rPr>
            </w:pPr>
            <w:r>
              <w:rPr>
                <w:b/>
              </w:rPr>
              <w:t>3.0</w:t>
            </w:r>
          </w:p>
        </w:tc>
      </w:tr>
    </w:tbl>
    <w:p w:rsidR="00B461AB" w:rsidRDefault="00B461AB" w:rsidP="00B461AB">
      <w:pPr>
        <w:pStyle w:val="ExhibitSource"/>
      </w:pPr>
      <w:r>
        <w:t>Source: Public Sector Consultants analysis.</w:t>
      </w:r>
    </w:p>
    <w:p w:rsidR="003D6B8C" w:rsidRDefault="006A1871" w:rsidP="00D42C51">
      <w:pPr>
        <w:pStyle w:val="BodyText"/>
      </w:pPr>
      <w:r>
        <w:t xml:space="preserve">Business as Usual </w:t>
      </w:r>
      <w:r w:rsidR="0005259D">
        <w:t>currently</w:t>
      </w:r>
      <w:r>
        <w:t xml:space="preserve"> provide</w:t>
      </w:r>
      <w:r w:rsidR="0005259D">
        <w:t>s</w:t>
      </w:r>
      <w:r>
        <w:t xml:space="preserve"> substantial benefits to U.P. utilities and customers</w:t>
      </w:r>
      <w:r w:rsidR="00352807">
        <w:t>, and t</w:t>
      </w:r>
      <w:r>
        <w:t xml:space="preserve">he identified programs provide an annual average </w:t>
      </w:r>
      <w:r w:rsidR="007B78AA">
        <w:t xml:space="preserve">electric </w:t>
      </w:r>
      <w:r>
        <w:t xml:space="preserve">savings of </w:t>
      </w:r>
      <w:r w:rsidR="007B78AA">
        <w:t>32,825 MWhs</w:t>
      </w:r>
      <w:r w:rsidR="00352807">
        <w:t xml:space="preserve"> (</w:t>
      </w:r>
      <w:r w:rsidR="007B78AA">
        <w:t>enough power to serve over 5,000 average households in the U.P.</w:t>
      </w:r>
      <w:r w:rsidR="00352807">
        <w:t>).</w:t>
      </w:r>
      <w:r w:rsidR="007B78AA">
        <w:rPr>
          <w:rStyle w:val="FootnoteReference"/>
        </w:rPr>
        <w:footnoteReference w:id="31"/>
      </w:r>
      <w:r w:rsidR="007857CA">
        <w:rPr>
          <w:rStyle w:val="CommentReference"/>
          <w:rFonts w:asciiTheme="minorHAnsi" w:hAnsiTheme="minorHAnsi"/>
          <w:color w:val="auto"/>
        </w:rPr>
        <w:t xml:space="preserve"> </w:t>
      </w:r>
      <w:r w:rsidR="00352807">
        <w:t>T</w:t>
      </w:r>
      <w:r w:rsidR="003D6B8C">
        <w:t>he Strategic Portfolio</w:t>
      </w:r>
      <w:r w:rsidR="00352807">
        <w:t xml:space="preserve"> scenario, however,</w:t>
      </w:r>
      <w:r w:rsidR="003D6B8C">
        <w:t xml:space="preserve"> </w:t>
      </w:r>
      <w:r w:rsidR="0005259D">
        <w:t xml:space="preserve">even with </w:t>
      </w:r>
      <w:r w:rsidR="003D6B8C">
        <w:t xml:space="preserve">a </w:t>
      </w:r>
      <w:r w:rsidR="00D42C51">
        <w:t xml:space="preserve">slightly </w:t>
      </w:r>
      <w:r w:rsidR="003D6B8C">
        <w:t>higher cost of conserved energy, is more</w:t>
      </w:r>
      <w:r w:rsidR="008B6B5B">
        <w:t xml:space="preserve"> cost-effective</w:t>
      </w:r>
      <w:r w:rsidR="007B78AA">
        <w:t xml:space="preserve">, provides nearly </w:t>
      </w:r>
      <w:r w:rsidR="00B10AB3">
        <w:t>38,000 MWhs of</w:t>
      </w:r>
      <w:r w:rsidR="007B78AA">
        <w:t xml:space="preserve"> energy savings,</w:t>
      </w:r>
      <w:r w:rsidR="003D6B8C">
        <w:t xml:space="preserve"> </w:t>
      </w:r>
      <w:r w:rsidR="008B6B5B">
        <w:t xml:space="preserve">and </w:t>
      </w:r>
      <w:r w:rsidR="007B78AA">
        <w:t>is positioned to capture additional</w:t>
      </w:r>
      <w:r w:rsidR="004A14B5">
        <w:t xml:space="preserve"> </w:t>
      </w:r>
      <w:r w:rsidR="008B6B5B">
        <w:t xml:space="preserve">nonenergy benefits. </w:t>
      </w:r>
      <w:r w:rsidR="004A14B5">
        <w:t xml:space="preserve">Alongside </w:t>
      </w:r>
      <w:r w:rsidR="008B6B5B">
        <w:t xml:space="preserve">cost-effective energy savings, the </w:t>
      </w:r>
      <w:r w:rsidR="003B2694">
        <w:t>Strategic</w:t>
      </w:r>
      <w:r w:rsidR="008B6B5B">
        <w:t xml:space="preserve"> </w:t>
      </w:r>
      <w:r w:rsidR="003B2694">
        <w:t>P</w:t>
      </w:r>
      <w:r w:rsidR="008B6B5B">
        <w:t>ortfolio approach is designed to support learning opportunities for U.P. residents and business</w:t>
      </w:r>
      <w:r w:rsidR="00E40678">
        <w:t>es</w:t>
      </w:r>
      <w:r w:rsidR="004A14B5">
        <w:t xml:space="preserve"> and empower them to manage their energy costs</w:t>
      </w:r>
      <w:r w:rsidR="00DD37AE">
        <w:t>,</w:t>
      </w:r>
      <w:r w:rsidR="00E40678">
        <w:t xml:space="preserve"> promote </w:t>
      </w:r>
      <w:r w:rsidR="008B6B5B">
        <w:t xml:space="preserve">economic </w:t>
      </w:r>
      <w:r w:rsidR="00E40678">
        <w:t xml:space="preserve">and community </w:t>
      </w:r>
      <w:r w:rsidR="008B6B5B">
        <w:t>development</w:t>
      </w:r>
      <w:r w:rsidR="00E40678">
        <w:t xml:space="preserve"> throughout the region</w:t>
      </w:r>
      <w:r w:rsidR="00DD37AE">
        <w:t xml:space="preserve">, </w:t>
      </w:r>
      <w:r w:rsidR="00E40678">
        <w:t>draw</w:t>
      </w:r>
      <w:r w:rsidR="008B6B5B">
        <w:t xml:space="preserve"> outside investment</w:t>
      </w:r>
      <w:r w:rsidR="00E40678">
        <w:t>s</w:t>
      </w:r>
      <w:r w:rsidR="008B6B5B">
        <w:t xml:space="preserve"> in U.P. facilities</w:t>
      </w:r>
      <w:r w:rsidR="00DD37AE">
        <w:t>,</w:t>
      </w:r>
      <w:r w:rsidR="008B6B5B">
        <w:t xml:space="preserve"> and </w:t>
      </w:r>
      <w:r w:rsidR="00E40678">
        <w:t xml:space="preserve">drive greater </w:t>
      </w:r>
      <w:r w:rsidR="008B6B5B">
        <w:t>customer engagement</w:t>
      </w:r>
      <w:r w:rsidR="003D6B8C">
        <w:t xml:space="preserve">. </w:t>
      </w:r>
      <w:r w:rsidR="00C80CC0">
        <w:t xml:space="preserve">This scenario analysis focuses on electric savings, but similar benefits are available for natural gas programs as well. </w:t>
      </w:r>
    </w:p>
    <w:p w:rsidR="00E31E8A" w:rsidRDefault="00E31E8A" w:rsidP="008A362A">
      <w:pPr>
        <w:pStyle w:val="BodyText"/>
      </w:pPr>
    </w:p>
    <w:p w:rsidR="00924BE7" w:rsidRDefault="00924BE7" w:rsidP="00924BE7">
      <w:pPr>
        <w:pStyle w:val="Reference"/>
        <w:sectPr w:rsidR="00924BE7" w:rsidSect="00320511">
          <w:headerReference w:type="even" r:id="rId41"/>
          <w:headerReference w:type="default" r:id="rId42"/>
          <w:footerReference w:type="default" r:id="rId43"/>
          <w:headerReference w:type="first" r:id="rId44"/>
          <w:pgSz w:w="12240" w:h="15840"/>
          <w:pgMar w:top="1440" w:right="1440" w:bottom="1440" w:left="1440" w:header="720" w:footer="720" w:gutter="0"/>
          <w:cols w:space="720"/>
          <w:docGrid w:linePitch="360"/>
        </w:sectPr>
      </w:pPr>
    </w:p>
    <w:p w:rsidR="00924BE7" w:rsidRDefault="00A03248" w:rsidP="00AC2F9A">
      <w:pPr>
        <w:pStyle w:val="BodyText"/>
        <w:pBdr>
          <w:bottom w:val="single" w:sz="8" w:space="10" w:color="FFB602" w:themeColor="accent1"/>
        </w:pBdr>
        <w:ind w:right="1080"/>
      </w:pPr>
      <w:r>
        <w:rPr>
          <w:noProof/>
        </w:rPr>
        <w:lastRenderedPageBreak/>
        <w:drawing>
          <wp:inline distT="0" distB="0" distL="0" distR="0">
            <wp:extent cx="1600200" cy="521208"/>
            <wp:effectExtent l="0" t="0" r="0" b="12700"/>
            <wp:docPr id="11" name="Picture 11" descr="Public Sector Consulta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umes/media/Production/Brand Refresh/01_PSC Brand/Logos/01 Primary Logo/RGB/2c Yellow_DarkGray/PSC_Logo_RGB_2cYD.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0200" cy="521208"/>
                    </a:xfrm>
                    <a:prstGeom prst="rect">
                      <a:avLst/>
                    </a:prstGeom>
                    <a:noFill/>
                    <a:ln>
                      <a:noFill/>
                    </a:ln>
                  </pic:spPr>
                </pic:pic>
              </a:graphicData>
            </a:graphic>
          </wp:inline>
        </w:drawing>
      </w:r>
    </w:p>
    <w:p w:rsidR="00A03248" w:rsidRPr="00AC2F9A" w:rsidRDefault="00A03248" w:rsidP="00AC2F9A">
      <w:pPr>
        <w:pStyle w:val="BodyText"/>
        <w:spacing w:before="240"/>
        <w:rPr>
          <w:rFonts w:ascii="Whitney Book" w:hAnsi="Whitney Book"/>
          <w:sz w:val="18"/>
        </w:rPr>
      </w:pPr>
      <w:r w:rsidRPr="00AC2F9A">
        <w:rPr>
          <w:rFonts w:ascii="Whitney Book" w:hAnsi="Whitney Book"/>
          <w:sz w:val="18"/>
        </w:rPr>
        <w:t>230 N. Washington Square</w:t>
      </w:r>
      <w:r w:rsidRPr="00AC2F9A">
        <w:rPr>
          <w:rFonts w:ascii="Whitney Book" w:hAnsi="Whitney Book"/>
          <w:sz w:val="18"/>
        </w:rPr>
        <w:br/>
        <w:t>Suite 300</w:t>
      </w:r>
      <w:r w:rsidRPr="00AC2F9A">
        <w:rPr>
          <w:rFonts w:ascii="Whitney Book" w:hAnsi="Whitney Book"/>
          <w:sz w:val="18"/>
        </w:rPr>
        <w:br/>
        <w:t>Lansing, MI 48933</w:t>
      </w:r>
    </w:p>
    <w:sectPr w:rsidR="00A03248" w:rsidRPr="00AC2F9A" w:rsidSect="00AC2F9A">
      <w:headerReference w:type="even" r:id="rId45"/>
      <w:headerReference w:type="default" r:id="rId46"/>
      <w:footerReference w:type="default" r:id="rId47"/>
      <w:headerReference w:type="first" r:id="rId48"/>
      <w:pgSz w:w="12240" w:h="15840"/>
      <w:pgMar w:top="11880" w:right="72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2E3" w:rsidRDefault="005F12E3" w:rsidP="00C550A3">
      <w:r>
        <w:separator/>
      </w:r>
    </w:p>
  </w:endnote>
  <w:endnote w:type="continuationSeparator" w:id="0">
    <w:p w:rsidR="005F12E3" w:rsidRDefault="005F12E3" w:rsidP="00C550A3">
      <w:r>
        <w:continuationSeparator/>
      </w:r>
    </w:p>
  </w:endnote>
  <w:endnote w:type="continuationNotice" w:id="1">
    <w:p w:rsidR="005F12E3" w:rsidRDefault="005F12E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wis721 Cn BT">
    <w:altName w:val="Franklin Gothic Demi Cond"/>
    <w:charset w:val="00"/>
    <w:family w:val="swiss"/>
    <w:pitch w:val="variable"/>
    <w:sig w:usb0="00000001" w:usb1="1000204A" w:usb2="00000000" w:usb3="00000000" w:csb0="00000011" w:csb1="00000000"/>
  </w:font>
  <w:font w:name="Swis721 Lt BT Light">
    <w:altName w:val="Calibri"/>
    <w:charset w:val="00"/>
    <w:family w:val="swiss"/>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wis721 Lt BT">
    <w:charset w:val="00"/>
    <w:family w:val="swiss"/>
    <w:pitch w:val="variable"/>
    <w:sig w:usb0="800000AF" w:usb1="1000204A" w:usb2="00000000" w:usb3="00000000" w:csb0="00000011" w:csb1="00000000"/>
  </w:font>
  <w:font w:name="Swis721 BT Roman">
    <w:altName w:val="Calibri"/>
    <w:charset w:val="00"/>
    <w:family w:val="swiss"/>
    <w:pitch w:val="variable"/>
    <w:sig w:usb0="800000AF" w:usb1="1000204A" w:usb2="00000000" w:usb3="00000000" w:csb0="00000011" w:csb1="00000000"/>
  </w:font>
  <w:font w:name="Swis721 BT">
    <w:altName w:val="Segoe Script"/>
    <w:charset w:val="00"/>
    <w:family w:val="swiss"/>
    <w:pitch w:val="variable"/>
    <w:sig w:usb0="00000001" w:usb1="1000204A" w:usb2="00000000" w:usb3="00000000" w:csb0="00000011" w:csb1="00000000"/>
  </w:font>
  <w:font w:name="A Cut Above The Rest">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Whitney Book">
    <w:altName w:val="Calibri"/>
    <w:panose1 w:val="00000000000000000000"/>
    <w:charset w:val="00"/>
    <w:family w:val="modern"/>
    <w:notTrueType/>
    <w:pitch w:val="variable"/>
    <w:sig w:usb0="A00002FF" w:usb1="5000004A"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A9" w:rsidRDefault="00370D51" w:rsidP="00381641">
    <w:pPr>
      <w:pStyle w:val="Footer"/>
      <w:framePr w:wrap="none" w:vAnchor="text" w:hAnchor="margin" w:xAlign="right" w:y="1"/>
      <w:rPr>
        <w:rStyle w:val="PageNumber"/>
      </w:rPr>
    </w:pPr>
    <w:r>
      <w:rPr>
        <w:rStyle w:val="PageNumber"/>
      </w:rPr>
      <w:fldChar w:fldCharType="begin"/>
    </w:r>
    <w:r w:rsidR="008F06A9">
      <w:rPr>
        <w:rStyle w:val="PageNumber"/>
      </w:rPr>
      <w:instrText xml:space="preserve">PAGE  </w:instrText>
    </w:r>
    <w:r>
      <w:rPr>
        <w:rStyle w:val="PageNumber"/>
      </w:rPr>
      <w:fldChar w:fldCharType="end"/>
    </w:r>
  </w:p>
  <w:p w:rsidR="008F06A9" w:rsidRDefault="008F06A9" w:rsidP="00A03F0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A9" w:rsidRDefault="008F06A9" w:rsidP="00FD5978">
    <w:pPr>
      <w:pStyle w:val="Footer"/>
      <w:tabs>
        <w:tab w:val="clear" w:pos="360"/>
        <w:tab w:val="clear" w:pos="4680"/>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A9" w:rsidRPr="00A03F03" w:rsidRDefault="00370D51" w:rsidP="00381641">
    <w:pPr>
      <w:pStyle w:val="Footer"/>
      <w:framePr w:wrap="none" w:vAnchor="text" w:hAnchor="margin" w:xAlign="right" w:y="1"/>
      <w:rPr>
        <w:rStyle w:val="PageNumber"/>
        <w:szCs w:val="16"/>
      </w:rPr>
    </w:pPr>
    <w:r w:rsidRPr="00A03F03">
      <w:rPr>
        <w:rStyle w:val="PageNumber"/>
        <w:szCs w:val="16"/>
      </w:rPr>
      <w:fldChar w:fldCharType="begin"/>
    </w:r>
    <w:r w:rsidR="008F06A9" w:rsidRPr="00A03F03">
      <w:rPr>
        <w:rStyle w:val="PageNumber"/>
        <w:szCs w:val="16"/>
      </w:rPr>
      <w:instrText xml:space="preserve">PAGE  </w:instrText>
    </w:r>
    <w:r w:rsidRPr="00A03F03">
      <w:rPr>
        <w:rStyle w:val="PageNumber"/>
        <w:szCs w:val="16"/>
      </w:rPr>
      <w:fldChar w:fldCharType="separate"/>
    </w:r>
    <w:r w:rsidR="0065032B">
      <w:rPr>
        <w:rStyle w:val="PageNumber"/>
        <w:noProof/>
        <w:szCs w:val="16"/>
      </w:rPr>
      <w:t>33</w:t>
    </w:r>
    <w:r w:rsidRPr="00A03F03">
      <w:rPr>
        <w:rStyle w:val="PageNumber"/>
        <w:szCs w:val="16"/>
      </w:rPr>
      <w:fldChar w:fldCharType="end"/>
    </w:r>
  </w:p>
  <w:p w:rsidR="008F06A9" w:rsidRDefault="008F06A9" w:rsidP="00924BE7">
    <w:pPr>
      <w:pStyle w:val="Footer"/>
      <w:tabs>
        <w:tab w:val="clear" w:pos="360"/>
        <w:tab w:val="clear" w:pos="4680"/>
      </w:tabs>
      <w:ind w:right="360"/>
    </w:pPr>
    <w:r>
      <w:t>PUBLICSECTORCONSULTANTS.COM</w:t>
    </w:r>
    <w:r>
      <w:tab/>
    </w:r>
    <w:r w:rsidRPr="00D71D59">
      <w:t>Upper Peninsula Energy Waste Reduction Study</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A9" w:rsidRDefault="008F06A9" w:rsidP="00FD5978">
    <w:pPr>
      <w:pStyle w:val="Footer"/>
      <w:tabs>
        <w:tab w:val="clear" w:pos="360"/>
        <w:tab w:val="clear" w:pos="468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2E3" w:rsidRDefault="005F12E3" w:rsidP="00C550A3">
      <w:r>
        <w:separator/>
      </w:r>
    </w:p>
  </w:footnote>
  <w:footnote w:type="continuationSeparator" w:id="0">
    <w:p w:rsidR="005F12E3" w:rsidRDefault="005F12E3" w:rsidP="00C550A3">
      <w:r>
        <w:continuationSeparator/>
      </w:r>
    </w:p>
  </w:footnote>
  <w:footnote w:type="continuationNotice" w:id="1">
    <w:p w:rsidR="005F12E3" w:rsidRDefault="005F12E3"/>
  </w:footnote>
  <w:footnote w:id="2">
    <w:p w:rsidR="008F06A9" w:rsidRDefault="008F06A9" w:rsidP="00F31F3C">
      <w:pPr>
        <w:pStyle w:val="FootnoteText"/>
      </w:pPr>
      <w:r>
        <w:rPr>
          <w:rStyle w:val="FootnoteReference"/>
        </w:rPr>
        <w:footnoteRef/>
      </w:r>
      <w:r>
        <w:t xml:space="preserve"> </w:t>
      </w:r>
      <w:r w:rsidRPr="00DA344A">
        <w:t>Clean, Renewable and Efficient Energy Act of 2008</w:t>
      </w:r>
      <w:r>
        <w:t xml:space="preserve">. (2008). PA 295. Accessed December 1, 2017. </w:t>
      </w:r>
      <w:r w:rsidRPr="00F76B9F">
        <w:t>http://legislature.mi.gov/doc.aspx?mcl-act-295-of-2008</w:t>
      </w:r>
    </w:p>
  </w:footnote>
  <w:footnote w:id="3">
    <w:p w:rsidR="008F06A9" w:rsidRDefault="008F06A9" w:rsidP="00F31F3C">
      <w:pPr>
        <w:pStyle w:val="FootnoteText"/>
      </w:pPr>
      <w:r>
        <w:rPr>
          <w:rStyle w:val="FootnoteReference"/>
        </w:rPr>
        <w:footnoteRef/>
      </w:r>
      <w:r>
        <w:t xml:space="preserve"> </w:t>
      </w:r>
      <w:r w:rsidRPr="00DA344A">
        <w:t>Clean and Renewable Energy and Energy Waste Reduction Act</w:t>
      </w:r>
      <w:r>
        <w:t>.</w:t>
      </w:r>
      <w:r w:rsidRPr="00DA344A">
        <w:t xml:space="preserve"> </w:t>
      </w:r>
      <w:r>
        <w:t xml:space="preserve">(2016). PA 342. Accessed December 1, 2017. </w:t>
      </w:r>
      <w:r w:rsidRPr="00DA344A">
        <w:t>https://www.legislature.mi.gov/documents/2015-2016/publicact/htm/2016-PA-0342.htm</w:t>
      </w:r>
    </w:p>
  </w:footnote>
  <w:footnote w:id="4">
    <w:p w:rsidR="008F06A9" w:rsidRDefault="008F06A9" w:rsidP="00F31F3C">
      <w:pPr>
        <w:pStyle w:val="FootnoteText"/>
      </w:pPr>
      <w:r>
        <w:rPr>
          <w:rStyle w:val="FootnoteReference"/>
        </w:rPr>
        <w:footnoteRef/>
      </w:r>
      <w:r>
        <w:t xml:space="preserve"> The City of Wakefield, an electric municipal utility in the U.P, and DTE Energy, a dual-fuel utility that provides natural gas service in the U.P., implement programs independently. SEMCO Energy, a natural gas utility with service areas throughout Michigan, including the U.P., has contracted with Efficiency UNITED to deliver programs throughout its service territory but has not chosen the statewide program administrator as an alternate compliance path for achieving energy optimization/energy waste reduction targets. For the 2018–2019 program years, the Upper Peninsula Power Company began contracting directly with Efficiency UNITED to implement programs rather than utilizing the alternate compliance path. Our analysis to date focused on the work of the two program implementers, Efficiency UNITED and the MECA Collaborative. </w:t>
      </w:r>
    </w:p>
  </w:footnote>
  <w:footnote w:id="5">
    <w:p w:rsidR="008F06A9" w:rsidRDefault="008F06A9" w:rsidP="00F31F3C">
      <w:pPr>
        <w:pStyle w:val="FootnoteText"/>
      </w:pPr>
      <w:r>
        <w:rPr>
          <w:rStyle w:val="FootnoteReference"/>
        </w:rPr>
        <w:footnoteRef/>
      </w:r>
      <w:r>
        <w:t xml:space="preserve"> PA 295, Section 91.</w:t>
      </w:r>
    </w:p>
  </w:footnote>
  <w:footnote w:id="6">
    <w:p w:rsidR="008F06A9" w:rsidRDefault="008F06A9" w:rsidP="00F31F3C">
      <w:pPr>
        <w:pStyle w:val="FootnoteText"/>
      </w:pPr>
      <w:r>
        <w:t xml:space="preserve">  </w:t>
      </w:r>
      <w:r>
        <w:rPr>
          <w:rStyle w:val="FootnoteReference"/>
        </w:rPr>
        <w:footnoteRef/>
      </w:r>
      <w:r>
        <w:t xml:space="preserve"> </w:t>
      </w:r>
      <w:r w:rsidRPr="00EB03E8">
        <w:t>Efficiency UNITED.</w:t>
      </w:r>
      <w:r>
        <w:t xml:space="preserve"> n.d.</w:t>
      </w:r>
      <w:r w:rsidRPr="00EB03E8">
        <w:t xml:space="preserve"> </w:t>
      </w:r>
      <w:r w:rsidRPr="00EB03E8">
        <w:rPr>
          <w:i/>
          <w:iCs/>
        </w:rPr>
        <w:t>2016 Annual Report</w:t>
      </w:r>
      <w:r w:rsidRPr="00EB03E8">
        <w:t>.</w:t>
      </w:r>
      <w:r>
        <w:t xml:space="preserve"> Accessed January 4, 2018. </w:t>
      </w:r>
      <w:hyperlink r:id="rId1" w:history="1">
        <w:r w:rsidRPr="00BF675B">
          <w:rPr>
            <w:rStyle w:val="Hyperlink"/>
          </w:rPr>
          <w:t>http://www.michigan.gov/documents/mpsc/2016_Efficiency_UNITED_Annual_Report_Final_560510_7.pdf</w:t>
        </w:r>
      </w:hyperlink>
    </w:p>
  </w:footnote>
  <w:footnote w:id="7">
    <w:p w:rsidR="008F06A9" w:rsidRDefault="008F06A9">
      <w:pPr>
        <w:pStyle w:val="FootnoteText"/>
      </w:pPr>
      <w:r>
        <w:rPr>
          <w:rStyle w:val="FootnoteReference"/>
        </w:rPr>
        <w:footnoteRef/>
      </w:r>
      <w:r>
        <w:t xml:space="preserve"> Estimated U.P. targets are calculated for SEMCO and DTE Energy by multiplying reported U.P. natural gas sales by 0.75 percent, the savings target established for natural gas in PA 295, as amended by PA 342. </w:t>
      </w:r>
    </w:p>
  </w:footnote>
  <w:footnote w:id="8">
    <w:p w:rsidR="008F06A9" w:rsidRDefault="008F06A9">
      <w:pPr>
        <w:pStyle w:val="FootnoteText"/>
      </w:pPr>
      <w:r>
        <w:rPr>
          <w:rStyle w:val="FootnoteReference"/>
        </w:rPr>
        <w:footnoteRef/>
      </w:r>
      <w:r>
        <w:t xml:space="preserve"> GDS Associates. </w:t>
      </w:r>
      <w:r w:rsidRPr="00CB4C37">
        <w:rPr>
          <w:szCs w:val="21"/>
        </w:rPr>
        <w:t>August 9, 2017</w:t>
      </w:r>
      <w:r>
        <w:rPr>
          <w:szCs w:val="21"/>
        </w:rPr>
        <w:t xml:space="preserve">. </w:t>
      </w:r>
      <w:r w:rsidRPr="00E57AE6">
        <w:rPr>
          <w:i/>
        </w:rPr>
        <w:t>Upper Peninsula Energy Efficiency Potential Study Final Report</w:t>
      </w:r>
      <w:r w:rsidRPr="00C01908">
        <w:rPr>
          <w:i/>
          <w:szCs w:val="21"/>
        </w:rPr>
        <w:t>.</w:t>
      </w:r>
      <w:r>
        <w:rPr>
          <w:szCs w:val="21"/>
        </w:rPr>
        <w:t xml:space="preserve"> Marietta: GDS Associates. </w:t>
      </w:r>
    </w:p>
  </w:footnote>
  <w:footnote w:id="9">
    <w:p w:rsidR="008F06A9" w:rsidRDefault="008F06A9" w:rsidP="002459A9">
      <w:pPr>
        <w:pStyle w:val="FootnoteText"/>
      </w:pPr>
      <w:r>
        <w:rPr>
          <w:rStyle w:val="FootnoteReference"/>
        </w:rPr>
        <w:footnoteRef/>
      </w:r>
      <w:r>
        <w:t xml:space="preserve"> Net present value is the difference between the present value of cash inflows and the present value of cash outflows over a specified period of time. NPV is used in budgeting to analyze the profitability or cost-effectiveness of a projected investment or project.</w:t>
      </w:r>
    </w:p>
  </w:footnote>
  <w:footnote w:id="10">
    <w:p w:rsidR="008F06A9" w:rsidRDefault="008F06A9">
      <w:pPr>
        <w:pStyle w:val="FootnoteText"/>
      </w:pPr>
      <w:r>
        <w:rPr>
          <w:rStyle w:val="FootnoteReference"/>
        </w:rPr>
        <w:footnoteRef/>
      </w:r>
      <w:r>
        <w:t xml:space="preserve"> </w:t>
      </w:r>
      <w:r w:rsidR="00081BE5">
        <w:t xml:space="preserve">GDS Associates. </w:t>
      </w:r>
      <w:r w:rsidR="00081BE5" w:rsidRPr="00CB4C37">
        <w:rPr>
          <w:szCs w:val="21"/>
        </w:rPr>
        <w:t xml:space="preserve">August </w:t>
      </w:r>
      <w:r w:rsidR="00081BE5">
        <w:rPr>
          <w:szCs w:val="21"/>
        </w:rPr>
        <w:t>11</w:t>
      </w:r>
      <w:r w:rsidR="00081BE5" w:rsidRPr="00CB4C37">
        <w:rPr>
          <w:szCs w:val="21"/>
        </w:rPr>
        <w:t>, 2017</w:t>
      </w:r>
      <w:r w:rsidR="00081BE5">
        <w:rPr>
          <w:szCs w:val="21"/>
        </w:rPr>
        <w:t xml:space="preserve">. </w:t>
      </w:r>
      <w:r w:rsidR="00081BE5" w:rsidRPr="00081BE5">
        <w:rPr>
          <w:i/>
        </w:rPr>
        <w:t>Michigan Lower Peninsula Electric Energy Efficiency Potential Study</w:t>
      </w:r>
      <w:r w:rsidR="00081BE5">
        <w:rPr>
          <w:i/>
        </w:rPr>
        <w:t xml:space="preserve">. </w:t>
      </w:r>
      <w:r w:rsidR="00081BE5">
        <w:rPr>
          <w:i/>
        </w:rPr>
        <w:br/>
      </w:r>
      <w:r>
        <w:t xml:space="preserve">GDS Associates. </w:t>
      </w:r>
      <w:r w:rsidRPr="00CB4C37">
        <w:rPr>
          <w:szCs w:val="21"/>
        </w:rPr>
        <w:t>August 9, 2017</w:t>
      </w:r>
      <w:r>
        <w:rPr>
          <w:szCs w:val="21"/>
        </w:rPr>
        <w:t xml:space="preserve">. </w:t>
      </w:r>
      <w:r w:rsidRPr="003C6165">
        <w:rPr>
          <w:i/>
        </w:rPr>
        <w:t>Upper Peninsula Energy Efficiency Potential Study Final Report</w:t>
      </w:r>
      <w:r w:rsidRPr="00C01908">
        <w:rPr>
          <w:i/>
          <w:szCs w:val="21"/>
        </w:rPr>
        <w:t>.</w:t>
      </w:r>
      <w:r>
        <w:rPr>
          <w:szCs w:val="21"/>
        </w:rPr>
        <w:t xml:space="preserve"> </w:t>
      </w:r>
      <w:r w:rsidR="00081BE5">
        <w:rPr>
          <w:szCs w:val="21"/>
        </w:rPr>
        <w:br/>
      </w:r>
      <w:r>
        <w:rPr>
          <w:szCs w:val="21"/>
        </w:rPr>
        <w:t xml:space="preserve">Accessed September 1, 2017. </w:t>
      </w:r>
      <w:hyperlink r:id="rId2" w:history="1">
        <w:r w:rsidRPr="000E74F6">
          <w:rPr>
            <w:rStyle w:val="Hyperlink"/>
            <w:szCs w:val="21"/>
          </w:rPr>
          <w:t>https://www.michigan.gov/mpsc/0,4639,7-159-80741---,00.html</w:t>
        </w:r>
      </w:hyperlink>
      <w:r>
        <w:rPr>
          <w:szCs w:val="21"/>
        </w:rPr>
        <w:t xml:space="preserve">  </w:t>
      </w:r>
    </w:p>
  </w:footnote>
  <w:footnote w:id="11">
    <w:p w:rsidR="008F06A9" w:rsidRPr="00AC6435" w:rsidRDefault="008F06A9">
      <w:pPr>
        <w:pStyle w:val="FootnoteText"/>
      </w:pPr>
      <w:r>
        <w:rPr>
          <w:rStyle w:val="FootnoteReference"/>
        </w:rPr>
        <w:footnoteRef/>
      </w:r>
      <w:r>
        <w:t xml:space="preserve"> California Public Utilities Commission. 2001</w:t>
      </w:r>
      <w:r w:rsidRPr="00AC6435">
        <w:rPr>
          <w:i/>
        </w:rPr>
        <w:t>. California Standard Practice Manual: Economic Analysis of Demand-Side Programs and Projects</w:t>
      </w:r>
      <w:r>
        <w:rPr>
          <w:i/>
        </w:rPr>
        <w:t xml:space="preserve">. </w:t>
      </w:r>
      <w:r>
        <w:t xml:space="preserve">Sacramento: California Public Utilities Commission. Accessed November 20, 2018. </w:t>
      </w:r>
      <w:r w:rsidRPr="00AC6435">
        <w:t>http://www.cpuc.ca.gov/uploadedFiles/CPUC_Public_Website/Content/Utilities_and_Industries/Energy_-_Electricity_and_Natural_Gas/CPUC_STANDARD_PRACTICE_MANUAL.pdf</w:t>
      </w:r>
    </w:p>
  </w:footnote>
  <w:footnote w:id="12">
    <w:p w:rsidR="008F06A9" w:rsidRDefault="008F06A9" w:rsidP="00A41F03">
      <w:pPr>
        <w:pStyle w:val="FootnoteText"/>
      </w:pPr>
      <w:r>
        <w:rPr>
          <w:rStyle w:val="FootnoteReference"/>
        </w:rPr>
        <w:footnoteRef/>
      </w:r>
      <w:r>
        <w:t xml:space="preserve"> </w:t>
      </w:r>
      <w:hyperlink r:id="rId3" w:history="1">
        <w:r>
          <w:rPr>
            <w:rStyle w:val="Hyperlink"/>
          </w:rPr>
          <w:t>http://aceee.org/sites/default/files/publications/researchreports/E086.pdf</w:t>
        </w:r>
      </w:hyperlink>
    </w:p>
  </w:footnote>
  <w:footnote w:id="13">
    <w:p w:rsidR="008F06A9" w:rsidRDefault="008F06A9" w:rsidP="00A41F03">
      <w:pPr>
        <w:pStyle w:val="FootnoteText"/>
      </w:pPr>
      <w:r>
        <w:rPr>
          <w:rStyle w:val="FootnoteReference"/>
        </w:rPr>
        <w:footnoteRef/>
      </w:r>
      <w:r>
        <w:t xml:space="preserve"> http://aceee.org/research-report/u1606</w:t>
      </w:r>
    </w:p>
  </w:footnote>
  <w:footnote w:id="14">
    <w:p w:rsidR="008F06A9" w:rsidRDefault="008F06A9" w:rsidP="00F31F3C">
      <w:pPr>
        <w:pStyle w:val="FootnoteText"/>
      </w:pPr>
      <w:r>
        <w:rPr>
          <w:rStyle w:val="FootnoteReference"/>
        </w:rPr>
        <w:footnoteRef/>
      </w:r>
      <w:r>
        <w:t xml:space="preserve"> Energy Optimization. 2018. “Cloverland Electric Cooperative: Efficient HVAC.” </w:t>
      </w:r>
      <w:r>
        <w:rPr>
          <w:i/>
        </w:rPr>
        <w:t xml:space="preserve">Energy Optimization. </w:t>
      </w:r>
      <w:r>
        <w:t xml:space="preserve">Accessed February 12, 2018. </w:t>
      </w:r>
      <w:r w:rsidRPr="00F57F59">
        <w:t>https://www.michigan-energy.org/utility/Cloverland</w:t>
      </w:r>
    </w:p>
  </w:footnote>
  <w:footnote w:id="15">
    <w:p w:rsidR="008F06A9" w:rsidRDefault="008F06A9" w:rsidP="00F31F3C">
      <w:pPr>
        <w:pStyle w:val="FootnoteText"/>
      </w:pPr>
      <w:r>
        <w:rPr>
          <w:rStyle w:val="FootnoteReference"/>
        </w:rPr>
        <w:footnoteRef/>
      </w:r>
      <w:r>
        <w:t xml:space="preserve"> Efficiency UNITED. March 2018. </w:t>
      </w:r>
      <w:r w:rsidRPr="00BB2AF9">
        <w:rPr>
          <w:i/>
        </w:rPr>
        <w:t>Space Heating and Cooling Rebate Application.</w:t>
      </w:r>
      <w:r>
        <w:rPr>
          <w:i/>
        </w:rPr>
        <w:t xml:space="preserve"> </w:t>
      </w:r>
      <w:r>
        <w:t xml:space="preserve">Accessed April 1, 2018. </w:t>
      </w:r>
      <w:r w:rsidRPr="00835743">
        <w:t>https://efficiencyunited.com/_/documents/eu-heating-cooling-application.pdf</w:t>
      </w:r>
    </w:p>
  </w:footnote>
  <w:footnote w:id="16">
    <w:p w:rsidR="008F06A9" w:rsidRDefault="008F06A9">
      <w:pPr>
        <w:pStyle w:val="FootnoteText"/>
      </w:pPr>
      <w:r>
        <w:rPr>
          <w:rStyle w:val="FootnoteReference"/>
        </w:rPr>
        <w:footnoteRef/>
      </w:r>
      <w:r>
        <w:t xml:space="preserve"> The EnergySmart Grocer program, offered in multiple locales across the U.S., provides a model for negotiating pricing for a suite of measures applicable to grocery stores, with local contractors serving that market. The program allows for low-cost, low-hassle installation of EWR measures and creates a business opportunity for the participating contractors.</w:t>
      </w:r>
    </w:p>
  </w:footnote>
  <w:footnote w:id="17">
    <w:p w:rsidR="008F06A9" w:rsidRDefault="008F06A9" w:rsidP="00F31F3C">
      <w:pPr>
        <w:pStyle w:val="FootnoteText"/>
      </w:pPr>
      <w:r>
        <w:rPr>
          <w:rStyle w:val="FootnoteReference"/>
        </w:rPr>
        <w:footnoteRef/>
      </w:r>
      <w:r>
        <w:t xml:space="preserve"> CLEAResult. 2015. “EnergySmart Grocer.” </w:t>
      </w:r>
      <w:r>
        <w:rPr>
          <w:i/>
        </w:rPr>
        <w:t xml:space="preserve">EnergySmart Grocer. </w:t>
      </w:r>
      <w:r>
        <w:t xml:space="preserve">Accessed March 13, 2018. </w:t>
      </w:r>
      <w:r w:rsidRPr="007A7F63">
        <w:t>http://www.energysmartgrocer.org/</w:t>
      </w:r>
    </w:p>
  </w:footnote>
  <w:footnote w:id="18">
    <w:p w:rsidR="008F06A9" w:rsidRDefault="008F06A9" w:rsidP="00D71D59">
      <w:pPr>
        <w:pStyle w:val="FootnoteText"/>
      </w:pPr>
      <w:r>
        <w:rPr>
          <w:rStyle w:val="FootnoteReference"/>
        </w:rPr>
        <w:footnoteRef/>
      </w:r>
      <w:r>
        <w:t xml:space="preserve"> United States Department of Agriculture and Rural Development. 2018. “Rural Energy for America Program: Renewable Energy Systems and Energy Efficiency Improvement Loans and Grants.</w:t>
      </w:r>
      <w:r w:rsidRPr="00BD1840">
        <w:t>”</w:t>
      </w:r>
      <w:r>
        <w:t xml:space="preserve"> </w:t>
      </w:r>
      <w:r w:rsidRPr="00BB2AF9">
        <w:rPr>
          <w:i/>
        </w:rPr>
        <w:t xml:space="preserve">United States Department of Agriculture </w:t>
      </w:r>
      <w:r>
        <w:rPr>
          <w:i/>
        </w:rPr>
        <w:t>and</w:t>
      </w:r>
      <w:r w:rsidRPr="009C757F">
        <w:rPr>
          <w:i/>
        </w:rPr>
        <w:t xml:space="preserve"> </w:t>
      </w:r>
      <w:r w:rsidRPr="00BB2AF9">
        <w:rPr>
          <w:i/>
        </w:rPr>
        <w:t>Rural Development.</w:t>
      </w:r>
      <w:r>
        <w:t xml:space="preserve"> Accessed March 9, 2018. https://www.rd.usda.gov/programs-services/rural-energy-america-program-renewable-energy-systems-energy-efficiency</w:t>
      </w:r>
    </w:p>
  </w:footnote>
  <w:footnote w:id="19">
    <w:p w:rsidR="008F06A9" w:rsidRDefault="008F06A9">
      <w:pPr>
        <w:pStyle w:val="FootnoteText"/>
      </w:pPr>
      <w:r>
        <w:rPr>
          <w:rStyle w:val="FootnoteReference"/>
        </w:rPr>
        <w:footnoteRef/>
      </w:r>
      <w:r>
        <w:t>United States Department of Health and Human Services. 2018. “</w:t>
      </w:r>
      <w:r w:rsidRPr="00CB1A85">
        <w:t>Low</w:t>
      </w:r>
      <w:r>
        <w:t>-i</w:t>
      </w:r>
      <w:r w:rsidRPr="00CB1A85">
        <w:t>ncome Home Energy Assistance Program (LIHEAP)</w:t>
      </w:r>
      <w:r>
        <w:t xml:space="preserve">.” </w:t>
      </w:r>
      <w:r w:rsidRPr="009C757F">
        <w:rPr>
          <w:i/>
        </w:rPr>
        <w:t>Office of Community Services.</w:t>
      </w:r>
      <w:r>
        <w:t xml:space="preserve"> Accessed May 1, 2018. </w:t>
      </w:r>
      <w:r w:rsidRPr="00CB1A85">
        <w:t>https://www.acf.hhs.gov/ocs/programs/liheap</w:t>
      </w:r>
    </w:p>
  </w:footnote>
  <w:footnote w:id="20">
    <w:p w:rsidR="008F06A9" w:rsidRDefault="008F06A9">
      <w:pPr>
        <w:pStyle w:val="FootnoteText"/>
      </w:pPr>
      <w:r>
        <w:rPr>
          <w:rStyle w:val="FootnoteReference"/>
        </w:rPr>
        <w:footnoteRef/>
      </w:r>
      <w:r>
        <w:t xml:space="preserve"> United States Department of Energy. n.d. “Funding Opportunities.” </w:t>
      </w:r>
      <w:r w:rsidRPr="009C757F">
        <w:rPr>
          <w:i/>
        </w:rPr>
        <w:t>United States Department of Energy</w:t>
      </w:r>
      <w:r>
        <w:rPr>
          <w:i/>
        </w:rPr>
        <w:t xml:space="preserve"> </w:t>
      </w:r>
      <w:r w:rsidRPr="009C757F">
        <w:rPr>
          <w:i/>
        </w:rPr>
        <w:t>Office of Energy Efficiency and Renewable Energy.</w:t>
      </w:r>
      <w:r>
        <w:t xml:space="preserve"> Accessed May 1, 2018. </w:t>
      </w:r>
      <w:r w:rsidRPr="00FA59A8">
        <w:t>https://www.energy.gov/eere/funding/eere-funding-opportunities</w:t>
      </w:r>
    </w:p>
  </w:footnote>
  <w:footnote w:id="21">
    <w:p w:rsidR="008F06A9" w:rsidRDefault="008F06A9">
      <w:pPr>
        <w:pStyle w:val="FootnoteText"/>
      </w:pPr>
      <w:r>
        <w:rPr>
          <w:rStyle w:val="FootnoteReference"/>
        </w:rPr>
        <w:footnoteRef/>
      </w:r>
      <w:r>
        <w:t xml:space="preserve"> Lisa Bowers. May 13, 2018. “NMU Program Expands Broadband Access in Upper Peninsula.” </w:t>
      </w:r>
      <w:r w:rsidRPr="00FE0C0E">
        <w:rPr>
          <w:i/>
        </w:rPr>
        <w:t>The Daily News.</w:t>
      </w:r>
      <w:r>
        <w:t xml:space="preserve"> Accessed May 15, 2018. </w:t>
      </w:r>
      <w:r w:rsidRPr="00DB0398">
        <w:t>http://www.ironmountaindailynews.com/news/local-news/2017/04/nmu%E2%80%88program-expands-broadband-access-in-upper-peninsulanmu%E2%80%88program-expands-broadband-access-in-upper-peninsula/</w:t>
      </w:r>
    </w:p>
  </w:footnote>
  <w:footnote w:id="22">
    <w:p w:rsidR="008F06A9" w:rsidRDefault="008F06A9">
      <w:pPr>
        <w:pStyle w:val="FootnoteText"/>
      </w:pPr>
      <w:r>
        <w:rPr>
          <w:rStyle w:val="FootnoteReference"/>
        </w:rPr>
        <w:footnoteRef/>
      </w:r>
      <w:r>
        <w:t xml:space="preserve"> Efficiency Works. 2018. “Store.” </w:t>
      </w:r>
      <w:r>
        <w:rPr>
          <w:i/>
        </w:rPr>
        <w:t xml:space="preserve">Efficiency Works. </w:t>
      </w:r>
      <w:r>
        <w:t xml:space="preserve">Accessed May 1, 2018. </w:t>
      </w:r>
      <w:r w:rsidRPr="00AF6A7E">
        <w:t>https://efficiencyworksstore.com/</w:t>
      </w:r>
    </w:p>
  </w:footnote>
  <w:footnote w:id="23">
    <w:p w:rsidR="008F06A9" w:rsidRDefault="008F06A9">
      <w:pPr>
        <w:pStyle w:val="FootnoteText"/>
      </w:pPr>
      <w:r>
        <w:rPr>
          <w:rStyle w:val="FootnoteReference"/>
        </w:rPr>
        <w:footnoteRef/>
      </w:r>
      <w:r>
        <w:t xml:space="preserve"> Michigan Public Service Commission. 2018. “Michigan Energy Measures Database</w:t>
      </w:r>
      <w:r w:rsidRPr="00BB2AF9">
        <w:rPr>
          <w:i/>
        </w:rPr>
        <w:t>.”</w:t>
      </w:r>
      <w:r>
        <w:rPr>
          <w:i/>
        </w:rPr>
        <w:t xml:space="preserve"> Department of Licensing and Regulatory Affairs</w:t>
      </w:r>
      <w:r w:rsidRPr="00BB2AF9">
        <w:rPr>
          <w:i/>
        </w:rPr>
        <w:t>.</w:t>
      </w:r>
      <w:r>
        <w:t xml:space="preserve"> Accessed February 21, 2018. </w:t>
      </w:r>
      <w:r w:rsidRPr="00086575">
        <w:t>https://www.michigan.gov/mpsc/0,4639,7-159-52495_55129---,00.html</w:t>
      </w:r>
    </w:p>
  </w:footnote>
  <w:footnote w:id="24">
    <w:p w:rsidR="008F06A9" w:rsidRDefault="008F06A9" w:rsidP="00965113">
      <w:pPr>
        <w:pStyle w:val="FootnoteText"/>
      </w:pPr>
      <w:r>
        <w:rPr>
          <w:rStyle w:val="FootnoteReference"/>
        </w:rPr>
        <w:footnoteRef/>
      </w:r>
      <w:r>
        <w:t xml:space="preserve"> ENERGY STAR. 2018. “</w:t>
      </w:r>
      <w:r w:rsidRPr="00363494">
        <w:t>ENERGY STAR Most Efficient 2018</w:t>
      </w:r>
      <w:r>
        <w:t xml:space="preserve">.” </w:t>
      </w:r>
      <w:r w:rsidRPr="00DC4EAF">
        <w:rPr>
          <w:i/>
        </w:rPr>
        <w:t>ENERGY STAR</w:t>
      </w:r>
      <w:r>
        <w:t>. Accessed May 1, 2018.</w:t>
      </w:r>
      <w:r w:rsidRPr="00363494">
        <w:t xml:space="preserve"> </w:t>
      </w:r>
      <w:r w:rsidRPr="006A70AE">
        <w:t>https://www.energystar.gov/products/most_efficient</w:t>
      </w:r>
    </w:p>
  </w:footnote>
  <w:footnote w:id="25">
    <w:p w:rsidR="008F06A9" w:rsidRDefault="008F06A9">
      <w:pPr>
        <w:pStyle w:val="FootnoteText"/>
      </w:pPr>
      <w:r>
        <w:rPr>
          <w:rStyle w:val="FootnoteReference"/>
        </w:rPr>
        <w:footnoteRef/>
      </w:r>
      <w:r>
        <w:t xml:space="preserve"> </w:t>
      </w:r>
      <w:r w:rsidRPr="00B0479B">
        <w:t xml:space="preserve">The cost of conserved energy is an investment statistic that simplifies comparison </w:t>
      </w:r>
      <w:r>
        <w:t>between</w:t>
      </w:r>
      <w:r w:rsidRPr="00B0479B">
        <w:t xml:space="preserve"> conservation measures and against competing energy supplies. A formula for calculating the cost of conserved energy formula is presented. A conservation measure is cost-effective if its CCE is less than the </w:t>
      </w:r>
      <w:r>
        <w:t>cost that would be incurred to supply the energy the measure displaces</w:t>
      </w:r>
      <w:r w:rsidRPr="00B0479B">
        <w:t>.</w:t>
      </w:r>
    </w:p>
  </w:footnote>
  <w:footnote w:id="26">
    <w:p w:rsidR="008F06A9" w:rsidRDefault="008F06A9" w:rsidP="00BB2AF9">
      <w:pPr>
        <w:pStyle w:val="FootnoteText"/>
      </w:pPr>
      <w:r>
        <w:rPr>
          <w:rStyle w:val="FootnoteReference"/>
        </w:rPr>
        <w:footnoteRef/>
      </w:r>
      <w:r>
        <w:t xml:space="preserve"> A.K. </w:t>
      </w:r>
      <w:r w:rsidRPr="00B0479B">
        <w:t xml:space="preserve">Meier. 1984. </w:t>
      </w:r>
      <w:r>
        <w:t>“</w:t>
      </w:r>
      <w:r w:rsidRPr="00B0479B">
        <w:t xml:space="preserve">The Cost of Conserved Energy </w:t>
      </w:r>
      <w:r>
        <w:t>as an</w:t>
      </w:r>
      <w:r w:rsidRPr="00B0479B">
        <w:t xml:space="preserve"> Investment Statistic.</w:t>
      </w:r>
      <w:r>
        <w:t xml:space="preserve">” </w:t>
      </w:r>
      <w:r>
        <w:rPr>
          <w:i/>
        </w:rPr>
        <w:t>OAKTrust.</w:t>
      </w:r>
      <w:r w:rsidRPr="00B0479B">
        <w:t xml:space="preserve"> </w:t>
      </w:r>
      <w:r>
        <w:t xml:space="preserve">Accessed May 24, 2018. </w:t>
      </w:r>
      <w:r w:rsidRPr="00195C66">
        <w:t>http://oaktrust.library.tamu.edu/handle/1969.1/94751</w:t>
      </w:r>
    </w:p>
    <w:p w:rsidR="008F06A9" w:rsidRDefault="008F06A9">
      <w:pPr>
        <w:pStyle w:val="FootnoteText"/>
      </w:pPr>
    </w:p>
  </w:footnote>
  <w:footnote w:id="27">
    <w:p w:rsidR="008F06A9" w:rsidRDefault="008F06A9">
      <w:pPr>
        <w:pStyle w:val="FootnoteText"/>
      </w:pPr>
      <w:r>
        <w:rPr>
          <w:rStyle w:val="FootnoteReference"/>
        </w:rPr>
        <w:footnoteRef/>
      </w:r>
      <w:r>
        <w:t xml:space="preserve"> Opinion Dynamics. March 20,</w:t>
      </w:r>
      <w:r w:rsidRPr="00331A2B">
        <w:t xml:space="preserve"> 2013</w:t>
      </w:r>
      <w:r>
        <w:t xml:space="preserve">. </w:t>
      </w:r>
      <w:r w:rsidRPr="00BB2AF9">
        <w:rPr>
          <w:i/>
        </w:rPr>
        <w:t xml:space="preserve">ComEd Residential </w:t>
      </w:r>
      <w:r>
        <w:rPr>
          <w:i/>
        </w:rPr>
        <w:t xml:space="preserve">and C&amp;I </w:t>
      </w:r>
      <w:r w:rsidRPr="00BB2AF9">
        <w:rPr>
          <w:i/>
        </w:rPr>
        <w:t>Saturation/End-</w:t>
      </w:r>
      <w:r>
        <w:rPr>
          <w:i/>
        </w:rPr>
        <w:t>u</w:t>
      </w:r>
      <w:r w:rsidRPr="00BB2AF9">
        <w:rPr>
          <w:i/>
        </w:rPr>
        <w:t>se, Market Penetration</w:t>
      </w:r>
      <w:r>
        <w:rPr>
          <w:i/>
        </w:rPr>
        <w:t>,</w:t>
      </w:r>
      <w:r w:rsidRPr="00BB2AF9">
        <w:rPr>
          <w:i/>
        </w:rPr>
        <w:t xml:space="preserve"> </w:t>
      </w:r>
      <w:r>
        <w:rPr>
          <w:i/>
        </w:rPr>
        <w:t>and</w:t>
      </w:r>
      <w:r w:rsidRPr="00BB2AF9">
        <w:rPr>
          <w:i/>
        </w:rPr>
        <w:t xml:space="preserve"> Behavioral Study</w:t>
      </w:r>
      <w:r w:rsidRPr="003B2694">
        <w:rPr>
          <w:i/>
        </w:rPr>
        <w:t>.</w:t>
      </w:r>
      <w:r w:rsidRPr="00331A2B">
        <w:t xml:space="preserve"> </w:t>
      </w:r>
      <w:r>
        <w:t>Accessed May 1, 2018.</w:t>
      </w:r>
      <w:r w:rsidRPr="003B2694">
        <w:t xml:space="preserve"> http://ilsagfiles.org/SAG_files/Meeting_Materials/2013/March%2019-21,%202013%20Meetings/March%2020,%202013%20Meeting/ComEd%20End%20Use%20Saturation%20Study%20(Bill%20Norton,%20Opinion%20Dynamics).pdf</w:t>
      </w:r>
    </w:p>
  </w:footnote>
  <w:footnote w:id="28">
    <w:p w:rsidR="008F06A9" w:rsidRDefault="008F06A9" w:rsidP="00DC4EAF">
      <w:pPr>
        <w:pStyle w:val="FootnoteText"/>
      </w:pPr>
      <w:r>
        <w:rPr>
          <w:rStyle w:val="FootnoteReference"/>
        </w:rPr>
        <w:footnoteRef/>
      </w:r>
      <w:r>
        <w:t xml:space="preserve"> </w:t>
      </w:r>
      <w:r w:rsidRPr="00DC4EAF">
        <w:t>U. S. Small Business Administration</w:t>
      </w:r>
      <w:r>
        <w:t xml:space="preserve">. n.d. </w:t>
      </w:r>
      <w:r w:rsidRPr="00BB2AF9">
        <w:rPr>
          <w:i/>
        </w:rPr>
        <w:t>Table of Small Business Size Standards Matched to North American Industry Classification System Codes</w:t>
      </w:r>
      <w:r>
        <w:t xml:space="preserve">. Accessed May 1, 2018. </w:t>
      </w:r>
      <w:r w:rsidRPr="00604780">
        <w:t>https://www.sba.gov/sites/default/files/files/Size_Standards_Table.pdf</w:t>
      </w:r>
    </w:p>
  </w:footnote>
  <w:footnote w:id="29">
    <w:p w:rsidR="008F06A9" w:rsidRDefault="008F06A9">
      <w:pPr>
        <w:pStyle w:val="FootnoteText"/>
      </w:pPr>
      <w:r>
        <w:rPr>
          <w:rStyle w:val="FootnoteReference"/>
        </w:rPr>
        <w:footnoteRef/>
      </w:r>
      <w:r>
        <w:t xml:space="preserve"> United States Department of Agriculture and Rural Development. 2018. “Rural Energy for America Program: Renewable Energy Systems and Energy Efficiency Improvement Loans and Grants.” </w:t>
      </w:r>
      <w:r w:rsidRPr="00BB2AF9">
        <w:rPr>
          <w:i/>
        </w:rPr>
        <w:t xml:space="preserve">United States Department of Agriculture </w:t>
      </w:r>
      <w:r>
        <w:rPr>
          <w:i/>
        </w:rPr>
        <w:t xml:space="preserve">and </w:t>
      </w:r>
      <w:r w:rsidRPr="00BB2AF9">
        <w:rPr>
          <w:i/>
        </w:rPr>
        <w:t>Rural Development</w:t>
      </w:r>
      <w:r>
        <w:t>. Accessed March 9, 2018. https://www.rd.usda.gov/programs-services/rural-energy-america-program-renewable-energy-systems-energy-efficiency</w:t>
      </w:r>
    </w:p>
  </w:footnote>
  <w:footnote w:id="30">
    <w:p w:rsidR="008F06A9" w:rsidRDefault="008F06A9">
      <w:pPr>
        <w:pStyle w:val="FootnoteText"/>
      </w:pPr>
      <w:r>
        <w:rPr>
          <w:rStyle w:val="FootnoteReference"/>
        </w:rPr>
        <w:footnoteRef/>
      </w:r>
      <w:r>
        <w:t xml:space="preserve"> Building Operator Certification (BOC) is a </w:t>
      </w:r>
      <w:r w:rsidRPr="00FC2470">
        <w:t>training and certification program for building operators and facility managers</w:t>
      </w:r>
      <w:r>
        <w:t xml:space="preserve"> </w:t>
      </w:r>
      <w:r w:rsidRPr="003962EB">
        <w:t xml:space="preserve">that offers combined classroom and online instruction that, merged with hands-on projects, transfer into reduced building operational and energy expenses, extended longevity of building equipment, and </w:t>
      </w:r>
      <w:r>
        <w:t>a skilled</w:t>
      </w:r>
      <w:r w:rsidRPr="003962EB">
        <w:t xml:space="preserve"> workforce</w:t>
      </w:r>
      <w:r>
        <w:t xml:space="preserve">. The Michigan Agency for Energy has offered discounts for participants enrolling in BOC trainings offered throughout the state. BOC training has not been offered in the U.P. </w:t>
      </w:r>
    </w:p>
  </w:footnote>
  <w:footnote w:id="31">
    <w:p w:rsidR="008F06A9" w:rsidRPr="004731E4" w:rsidRDefault="008F06A9">
      <w:pPr>
        <w:pStyle w:val="FootnoteText"/>
      </w:pPr>
      <w:r>
        <w:rPr>
          <w:rStyle w:val="FootnoteReference"/>
        </w:rPr>
        <w:footnoteRef/>
      </w:r>
      <w:r>
        <w:t xml:space="preserve"> </w:t>
      </w:r>
      <w:r w:rsidRPr="007857CA">
        <w:t xml:space="preserve">United States Energy Information Administration. November 9, 2017. "2016 Utility Bundled Retail Sales—Residential." </w:t>
      </w:r>
      <w:r w:rsidRPr="00B03E5B">
        <w:rPr>
          <w:i/>
        </w:rPr>
        <w:t>Electricity:</w:t>
      </w:r>
      <w:r w:rsidRPr="007857CA">
        <w:t xml:space="preserve"> </w:t>
      </w:r>
      <w:r w:rsidRPr="00B03E5B">
        <w:rPr>
          <w:i/>
        </w:rPr>
        <w:t>Electric Sales, Revenue, and Average Price</w:t>
      </w:r>
      <w:r w:rsidRPr="007857CA">
        <w:t xml:space="preserve">. Accessed February 6, 2018. </w:t>
      </w:r>
      <w:hyperlink r:id="rId4" w:history="1">
        <w:r w:rsidRPr="0065390C">
          <w:rPr>
            <w:rStyle w:val="Hyperlink"/>
          </w:rPr>
          <w:t>https://www.eia.gov/electricity/sales_revenue_price/pdf/table6.pdf</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A9" w:rsidRDefault="008F06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A9" w:rsidRDefault="008F06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A9" w:rsidRDefault="008F06A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A9" w:rsidRDefault="008F06A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A9" w:rsidRDefault="008F06A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A9" w:rsidRDefault="008F06A9">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A9" w:rsidRDefault="008F06A9">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A9" w:rsidRDefault="008F06A9">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A9" w:rsidRDefault="008F06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988CB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A665A"/>
    <w:multiLevelType w:val="hybridMultilevel"/>
    <w:tmpl w:val="C88AF19C"/>
    <w:lvl w:ilvl="0" w:tplc="71BA6D02">
      <w:start w:val="1"/>
      <w:numFmt w:val="bullet"/>
      <w:lvlText w:val="-"/>
      <w:lvlJc w:val="left"/>
      <w:pPr>
        <w:tabs>
          <w:tab w:val="num" w:pos="720"/>
        </w:tabs>
        <w:ind w:left="720" w:hanging="360"/>
      </w:pPr>
      <w:rPr>
        <w:rFonts w:ascii="Lucida Grande" w:hAnsi="Lucida Grande" w:hint="default"/>
      </w:rPr>
    </w:lvl>
    <w:lvl w:ilvl="1" w:tplc="52446D9E">
      <w:start w:val="1"/>
      <w:numFmt w:val="bullet"/>
      <w:lvlText w:val="-"/>
      <w:lvlJc w:val="left"/>
      <w:pPr>
        <w:tabs>
          <w:tab w:val="num" w:pos="1440"/>
        </w:tabs>
        <w:ind w:left="1440" w:hanging="360"/>
      </w:pPr>
      <w:rPr>
        <w:rFonts w:ascii="Lucida Grande" w:hAnsi="Lucida Grande" w:hint="default"/>
      </w:rPr>
    </w:lvl>
    <w:lvl w:ilvl="2" w:tplc="E6B4100E" w:tentative="1">
      <w:start w:val="1"/>
      <w:numFmt w:val="bullet"/>
      <w:lvlText w:val="-"/>
      <w:lvlJc w:val="left"/>
      <w:pPr>
        <w:tabs>
          <w:tab w:val="num" w:pos="2160"/>
        </w:tabs>
        <w:ind w:left="2160" w:hanging="360"/>
      </w:pPr>
      <w:rPr>
        <w:rFonts w:ascii="Lucida Grande" w:hAnsi="Lucida Grande" w:hint="default"/>
      </w:rPr>
    </w:lvl>
    <w:lvl w:ilvl="3" w:tplc="2E8C1C98" w:tentative="1">
      <w:start w:val="1"/>
      <w:numFmt w:val="bullet"/>
      <w:lvlText w:val="-"/>
      <w:lvlJc w:val="left"/>
      <w:pPr>
        <w:tabs>
          <w:tab w:val="num" w:pos="2880"/>
        </w:tabs>
        <w:ind w:left="2880" w:hanging="360"/>
      </w:pPr>
      <w:rPr>
        <w:rFonts w:ascii="Lucida Grande" w:hAnsi="Lucida Grande" w:hint="default"/>
      </w:rPr>
    </w:lvl>
    <w:lvl w:ilvl="4" w:tplc="4422498E" w:tentative="1">
      <w:start w:val="1"/>
      <w:numFmt w:val="bullet"/>
      <w:lvlText w:val="-"/>
      <w:lvlJc w:val="left"/>
      <w:pPr>
        <w:tabs>
          <w:tab w:val="num" w:pos="3600"/>
        </w:tabs>
        <w:ind w:left="3600" w:hanging="360"/>
      </w:pPr>
      <w:rPr>
        <w:rFonts w:ascii="Lucida Grande" w:hAnsi="Lucida Grande" w:hint="default"/>
      </w:rPr>
    </w:lvl>
    <w:lvl w:ilvl="5" w:tplc="212E2C6A" w:tentative="1">
      <w:start w:val="1"/>
      <w:numFmt w:val="bullet"/>
      <w:lvlText w:val="-"/>
      <w:lvlJc w:val="left"/>
      <w:pPr>
        <w:tabs>
          <w:tab w:val="num" w:pos="4320"/>
        </w:tabs>
        <w:ind w:left="4320" w:hanging="360"/>
      </w:pPr>
      <w:rPr>
        <w:rFonts w:ascii="Lucida Grande" w:hAnsi="Lucida Grande" w:hint="default"/>
      </w:rPr>
    </w:lvl>
    <w:lvl w:ilvl="6" w:tplc="2EAAAEE4" w:tentative="1">
      <w:start w:val="1"/>
      <w:numFmt w:val="bullet"/>
      <w:lvlText w:val="-"/>
      <w:lvlJc w:val="left"/>
      <w:pPr>
        <w:tabs>
          <w:tab w:val="num" w:pos="5040"/>
        </w:tabs>
        <w:ind w:left="5040" w:hanging="360"/>
      </w:pPr>
      <w:rPr>
        <w:rFonts w:ascii="Lucida Grande" w:hAnsi="Lucida Grande" w:hint="default"/>
      </w:rPr>
    </w:lvl>
    <w:lvl w:ilvl="7" w:tplc="F8C68E48" w:tentative="1">
      <w:start w:val="1"/>
      <w:numFmt w:val="bullet"/>
      <w:lvlText w:val="-"/>
      <w:lvlJc w:val="left"/>
      <w:pPr>
        <w:tabs>
          <w:tab w:val="num" w:pos="5760"/>
        </w:tabs>
        <w:ind w:left="5760" w:hanging="360"/>
      </w:pPr>
      <w:rPr>
        <w:rFonts w:ascii="Lucida Grande" w:hAnsi="Lucida Grande" w:hint="default"/>
      </w:rPr>
    </w:lvl>
    <w:lvl w:ilvl="8" w:tplc="EF701E16" w:tentative="1">
      <w:start w:val="1"/>
      <w:numFmt w:val="bullet"/>
      <w:lvlText w:val="-"/>
      <w:lvlJc w:val="left"/>
      <w:pPr>
        <w:tabs>
          <w:tab w:val="num" w:pos="6480"/>
        </w:tabs>
        <w:ind w:left="6480" w:hanging="360"/>
      </w:pPr>
      <w:rPr>
        <w:rFonts w:ascii="Lucida Grande" w:hAnsi="Lucida Grande" w:hint="default"/>
      </w:rPr>
    </w:lvl>
  </w:abstractNum>
  <w:abstractNum w:abstractNumId="2">
    <w:nsid w:val="052B6CE4"/>
    <w:multiLevelType w:val="multilevel"/>
    <w:tmpl w:val="ECDA1EFE"/>
    <w:styleLink w:val="PSCNumberList"/>
    <w:lvl w:ilvl="0">
      <w:start w:val="1"/>
      <w:numFmt w:val="decimal"/>
      <w:pStyle w:val="ListNumber"/>
      <w:lvlText w:val="%1."/>
      <w:lvlJc w:val="left"/>
      <w:pPr>
        <w:ind w:left="360" w:hanging="360"/>
      </w:pPr>
      <w:rPr>
        <w:rFonts w:hint="default"/>
        <w:color w:val="auto"/>
        <w:sz w:val="20"/>
      </w:rPr>
    </w:lvl>
    <w:lvl w:ilvl="1">
      <w:start w:val="1"/>
      <w:numFmt w:val="lowerLetter"/>
      <w:lvlRestart w:val="0"/>
      <w:pStyle w:val="ListNumber2"/>
      <w:lvlText w:val="%2."/>
      <w:lvlJc w:val="left"/>
      <w:pPr>
        <w:ind w:left="720" w:hanging="360"/>
      </w:pPr>
      <w:rPr>
        <w:rFonts w:ascii="Georgia" w:hAnsi="Georgia" w:cs="Courier New" w:hint="default"/>
        <w:sz w:val="20"/>
      </w:rPr>
    </w:lvl>
    <w:lvl w:ilvl="2">
      <w:start w:val="1"/>
      <w:numFmt w:val="lowerRoman"/>
      <w:lvlRestart w:val="0"/>
      <w:pStyle w:val="ListNumber3"/>
      <w:lvlText w:val="%3."/>
      <w:lvlJc w:val="left"/>
      <w:pPr>
        <w:ind w:left="1080" w:hanging="360"/>
      </w:pPr>
      <w:rPr>
        <w:rFonts w:ascii="Georgia" w:hAnsi="Georgia" w:hint="default"/>
        <w:sz w:val="20"/>
      </w:rPr>
    </w:lvl>
    <w:lvl w:ilvl="3">
      <w:start w:val="1"/>
      <w:numFmt w:val="none"/>
      <w:lvlText w:val="%4"/>
      <w:lvlJc w:val="left"/>
      <w:pPr>
        <w:ind w:left="2880" w:hanging="360"/>
      </w:pPr>
      <w:rPr>
        <w:rFonts w:ascii="Times New Roman" w:hAnsi="Times New Roman" w:hint="default"/>
      </w:rPr>
    </w:lvl>
    <w:lvl w:ilvl="4">
      <w:start w:val="1"/>
      <w:numFmt w:val="none"/>
      <w:lvlText w:val="%5"/>
      <w:lvlJc w:val="left"/>
      <w:pPr>
        <w:ind w:left="3600" w:hanging="360"/>
      </w:pPr>
      <w:rPr>
        <w:rFonts w:ascii="Courier New" w:hAnsi="Courier New" w:cs="Courier New" w:hint="default"/>
      </w:rPr>
    </w:lvl>
    <w:lvl w:ilvl="5">
      <w:start w:val="1"/>
      <w:numFmt w:val="none"/>
      <w:lvlText w:val="%6"/>
      <w:lvlJc w:val="left"/>
      <w:pPr>
        <w:ind w:left="4320" w:hanging="360"/>
      </w:pPr>
      <w:rPr>
        <w:rFonts w:ascii="Times New Roman" w:hAnsi="Times New Roman" w:hint="default"/>
      </w:rPr>
    </w:lvl>
    <w:lvl w:ilvl="6">
      <w:start w:val="1"/>
      <w:numFmt w:val="none"/>
      <w:lvlText w:val="%7"/>
      <w:lvlJc w:val="left"/>
      <w:pPr>
        <w:ind w:left="5040" w:hanging="360"/>
      </w:pPr>
      <w:rPr>
        <w:rFonts w:ascii="Times New Roman" w:hAnsi="Times New Roman" w:hint="default"/>
      </w:rPr>
    </w:lvl>
    <w:lvl w:ilvl="7">
      <w:start w:val="1"/>
      <w:numFmt w:val="none"/>
      <w:lvlText w:val="%8"/>
      <w:lvlJc w:val="left"/>
      <w:pPr>
        <w:ind w:left="5760" w:hanging="360"/>
      </w:pPr>
      <w:rPr>
        <w:rFonts w:ascii="Courier New" w:hAnsi="Courier New" w:cs="Courier New" w:hint="default"/>
      </w:rPr>
    </w:lvl>
    <w:lvl w:ilvl="8">
      <w:start w:val="1"/>
      <w:numFmt w:val="none"/>
      <w:lvlText w:val="%9"/>
      <w:lvlJc w:val="left"/>
      <w:pPr>
        <w:ind w:left="6480" w:hanging="360"/>
      </w:pPr>
      <w:rPr>
        <w:rFonts w:ascii="Times New Roman" w:hAnsi="Times New Roman" w:hint="default"/>
      </w:rPr>
    </w:lvl>
  </w:abstractNum>
  <w:abstractNum w:abstractNumId="3">
    <w:nsid w:val="1F1F188B"/>
    <w:multiLevelType w:val="hybridMultilevel"/>
    <w:tmpl w:val="6B503DC6"/>
    <w:lvl w:ilvl="0" w:tplc="3F50555C">
      <w:start w:val="1"/>
      <w:numFmt w:val="bullet"/>
      <w:pStyle w:val="TableDataBullet"/>
      <w:lvlText w:val=""/>
      <w:lvlJc w:val="left"/>
      <w:pPr>
        <w:ind w:left="187" w:hanging="187"/>
      </w:pPr>
      <w:rPr>
        <w:rFonts w:ascii="Symbol" w:hAnsi="Symbol" w:hint="default"/>
        <w:color w:val="645C58"/>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43389B"/>
    <w:multiLevelType w:val="multilevel"/>
    <w:tmpl w:val="972C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096714"/>
    <w:multiLevelType w:val="multilevel"/>
    <w:tmpl w:val="ECDA1EFE"/>
    <w:numStyleLink w:val="PSCNumberList"/>
  </w:abstractNum>
  <w:abstractNum w:abstractNumId="6">
    <w:nsid w:val="5D3160C0"/>
    <w:multiLevelType w:val="hybridMultilevel"/>
    <w:tmpl w:val="D35A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D33ED4"/>
    <w:multiLevelType w:val="hybridMultilevel"/>
    <w:tmpl w:val="0464E772"/>
    <w:lvl w:ilvl="0" w:tplc="970410E4">
      <w:start w:val="1"/>
      <w:numFmt w:val="bullet"/>
      <w:lvlText w:val="-"/>
      <w:lvlJc w:val="left"/>
      <w:pPr>
        <w:tabs>
          <w:tab w:val="num" w:pos="720"/>
        </w:tabs>
        <w:ind w:left="720" w:hanging="360"/>
      </w:pPr>
      <w:rPr>
        <w:rFonts w:ascii="Lucida Grande" w:hAnsi="Lucida Grande" w:hint="default"/>
      </w:rPr>
    </w:lvl>
    <w:lvl w:ilvl="1" w:tplc="634A772C">
      <w:start w:val="1"/>
      <w:numFmt w:val="bullet"/>
      <w:lvlText w:val="-"/>
      <w:lvlJc w:val="left"/>
      <w:pPr>
        <w:tabs>
          <w:tab w:val="num" w:pos="1440"/>
        </w:tabs>
        <w:ind w:left="1440" w:hanging="360"/>
      </w:pPr>
      <w:rPr>
        <w:rFonts w:ascii="Lucida Grande" w:hAnsi="Lucida Grande" w:hint="default"/>
      </w:rPr>
    </w:lvl>
    <w:lvl w:ilvl="2" w:tplc="6E624440" w:tentative="1">
      <w:start w:val="1"/>
      <w:numFmt w:val="bullet"/>
      <w:lvlText w:val="-"/>
      <w:lvlJc w:val="left"/>
      <w:pPr>
        <w:tabs>
          <w:tab w:val="num" w:pos="2160"/>
        </w:tabs>
        <w:ind w:left="2160" w:hanging="360"/>
      </w:pPr>
      <w:rPr>
        <w:rFonts w:ascii="Lucida Grande" w:hAnsi="Lucida Grande" w:hint="default"/>
      </w:rPr>
    </w:lvl>
    <w:lvl w:ilvl="3" w:tplc="9E8E3EB6" w:tentative="1">
      <w:start w:val="1"/>
      <w:numFmt w:val="bullet"/>
      <w:lvlText w:val="-"/>
      <w:lvlJc w:val="left"/>
      <w:pPr>
        <w:tabs>
          <w:tab w:val="num" w:pos="2880"/>
        </w:tabs>
        <w:ind w:left="2880" w:hanging="360"/>
      </w:pPr>
      <w:rPr>
        <w:rFonts w:ascii="Lucida Grande" w:hAnsi="Lucida Grande" w:hint="default"/>
      </w:rPr>
    </w:lvl>
    <w:lvl w:ilvl="4" w:tplc="48C6400E" w:tentative="1">
      <w:start w:val="1"/>
      <w:numFmt w:val="bullet"/>
      <w:lvlText w:val="-"/>
      <w:lvlJc w:val="left"/>
      <w:pPr>
        <w:tabs>
          <w:tab w:val="num" w:pos="3600"/>
        </w:tabs>
        <w:ind w:left="3600" w:hanging="360"/>
      </w:pPr>
      <w:rPr>
        <w:rFonts w:ascii="Lucida Grande" w:hAnsi="Lucida Grande" w:hint="default"/>
      </w:rPr>
    </w:lvl>
    <w:lvl w:ilvl="5" w:tplc="CD3CF67E" w:tentative="1">
      <w:start w:val="1"/>
      <w:numFmt w:val="bullet"/>
      <w:lvlText w:val="-"/>
      <w:lvlJc w:val="left"/>
      <w:pPr>
        <w:tabs>
          <w:tab w:val="num" w:pos="4320"/>
        </w:tabs>
        <w:ind w:left="4320" w:hanging="360"/>
      </w:pPr>
      <w:rPr>
        <w:rFonts w:ascii="Lucida Grande" w:hAnsi="Lucida Grande" w:hint="default"/>
      </w:rPr>
    </w:lvl>
    <w:lvl w:ilvl="6" w:tplc="FA6477F4" w:tentative="1">
      <w:start w:val="1"/>
      <w:numFmt w:val="bullet"/>
      <w:lvlText w:val="-"/>
      <w:lvlJc w:val="left"/>
      <w:pPr>
        <w:tabs>
          <w:tab w:val="num" w:pos="5040"/>
        </w:tabs>
        <w:ind w:left="5040" w:hanging="360"/>
      </w:pPr>
      <w:rPr>
        <w:rFonts w:ascii="Lucida Grande" w:hAnsi="Lucida Grande" w:hint="default"/>
      </w:rPr>
    </w:lvl>
    <w:lvl w:ilvl="7" w:tplc="52CA91FA" w:tentative="1">
      <w:start w:val="1"/>
      <w:numFmt w:val="bullet"/>
      <w:lvlText w:val="-"/>
      <w:lvlJc w:val="left"/>
      <w:pPr>
        <w:tabs>
          <w:tab w:val="num" w:pos="5760"/>
        </w:tabs>
        <w:ind w:left="5760" w:hanging="360"/>
      </w:pPr>
      <w:rPr>
        <w:rFonts w:ascii="Lucida Grande" w:hAnsi="Lucida Grande" w:hint="default"/>
      </w:rPr>
    </w:lvl>
    <w:lvl w:ilvl="8" w:tplc="C69863FE" w:tentative="1">
      <w:start w:val="1"/>
      <w:numFmt w:val="bullet"/>
      <w:lvlText w:val="-"/>
      <w:lvlJc w:val="left"/>
      <w:pPr>
        <w:tabs>
          <w:tab w:val="num" w:pos="6480"/>
        </w:tabs>
        <w:ind w:left="6480" w:hanging="360"/>
      </w:pPr>
      <w:rPr>
        <w:rFonts w:ascii="Lucida Grande" w:hAnsi="Lucida Grande" w:hint="default"/>
      </w:rPr>
    </w:lvl>
  </w:abstractNum>
  <w:abstractNum w:abstractNumId="8">
    <w:nsid w:val="6B8343B6"/>
    <w:multiLevelType w:val="multilevel"/>
    <w:tmpl w:val="F3D2559C"/>
    <w:styleLink w:val="PSCBulletList"/>
    <w:lvl w:ilvl="0">
      <w:start w:val="1"/>
      <w:numFmt w:val="bullet"/>
      <w:pStyle w:val="ListBullet"/>
      <w:lvlText w:val=""/>
      <w:lvlJc w:val="left"/>
      <w:pPr>
        <w:ind w:left="360" w:hanging="360"/>
      </w:pPr>
      <w:rPr>
        <w:rFonts w:ascii="Symbol" w:hAnsi="Symbol" w:hint="default"/>
        <w:color w:val="FBB122"/>
      </w:rPr>
    </w:lvl>
    <w:lvl w:ilvl="1">
      <w:start w:val="1"/>
      <w:numFmt w:val="bullet"/>
      <w:pStyle w:val="ListBullet2"/>
      <w:lvlText w:val=""/>
      <w:lvlJc w:val="left"/>
      <w:pPr>
        <w:ind w:left="720" w:hanging="360"/>
      </w:pPr>
      <w:rPr>
        <w:rFonts w:ascii="Symbol" w:hAnsi="Symbol" w:hint="default"/>
      </w:rPr>
    </w:lvl>
    <w:lvl w:ilvl="2">
      <w:start w:val="1"/>
      <w:numFmt w:val="bullet"/>
      <w:pStyle w:val="ListBullet3"/>
      <w:lvlText w:val=""/>
      <w:lvlJc w:val="left"/>
      <w:pPr>
        <w:ind w:left="1080" w:hanging="360"/>
      </w:pPr>
      <w:rPr>
        <w:rFonts w:ascii="Symbol" w:hAnsi="Symbol" w:hint="default"/>
        <w:color w:val="645C58"/>
      </w:rPr>
    </w:lvl>
    <w:lvl w:ilvl="3">
      <w:start w:val="1"/>
      <w:numFmt w:val="none"/>
      <w:lvlText w:val="%4"/>
      <w:lvlJc w:val="left"/>
      <w:pPr>
        <w:ind w:left="1440" w:hanging="360"/>
      </w:pPr>
      <w:rPr>
        <w:rFonts w:ascii="Times New Roman" w:hAnsi="Times New Roman" w:hint="default"/>
        <w:color w:val="FBB122"/>
      </w:rPr>
    </w:lvl>
    <w:lvl w:ilvl="4">
      <w:start w:val="1"/>
      <w:numFmt w:val="none"/>
      <w:lvlText w:val="%5"/>
      <w:lvlJc w:val="left"/>
      <w:pPr>
        <w:ind w:left="1800" w:hanging="360"/>
      </w:pPr>
      <w:rPr>
        <w:rFonts w:ascii="Times New Roman" w:hAnsi="Times New Roman" w:hint="default"/>
        <w:color w:val="FBB122"/>
      </w:rPr>
    </w:lvl>
    <w:lvl w:ilvl="5">
      <w:start w:val="1"/>
      <w:numFmt w:val="non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725F7BE6"/>
    <w:multiLevelType w:val="multilevel"/>
    <w:tmpl w:val="F3D2559C"/>
    <w:numStyleLink w:val="PSCBulletList"/>
  </w:abstractNum>
  <w:num w:numId="1">
    <w:abstractNumId w:val="2"/>
  </w:num>
  <w:num w:numId="2">
    <w:abstractNumId w:val="3"/>
  </w:num>
  <w:num w:numId="3">
    <w:abstractNumId w:val="8"/>
  </w:num>
  <w:num w:numId="4">
    <w:abstractNumId w:val="9"/>
  </w:num>
  <w:num w:numId="5">
    <w:abstractNumId w:val="5"/>
  </w:num>
  <w:num w:numId="6">
    <w:abstractNumId w:val="0"/>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num>
  <w:num w:numId="9">
    <w:abstractNumId w:val="7"/>
  </w:num>
  <w:num w:numId="10">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attachedTemplate r:id="rId1"/>
  <w:stylePaneFormatFilter w:val="5004"/>
  <w:documentProtection w:edit="forms" w:formatting="1" w:enforcement="0"/>
  <w:defaultTabStop w:val="720"/>
  <w:drawingGridHorizontalSpacing w:val="120"/>
  <w:displayHorizontalDrawingGridEvery w:val="2"/>
  <w:displayVerticalDrawingGridEvery w:val="2"/>
  <w:doNotShadeFormData/>
  <w:characterSpacingControl w:val="doNotCompress"/>
  <w:hdrShapeDefaults>
    <o:shapedefaults v:ext="edit" spidmax="5122"/>
  </w:hdrShapeDefaults>
  <w:footnotePr>
    <w:footnote w:id="-1"/>
    <w:footnote w:id="0"/>
    <w:footnote w:id="1"/>
  </w:footnotePr>
  <w:endnotePr>
    <w:endnote w:id="-1"/>
    <w:endnote w:id="0"/>
    <w:endnote w:id="1"/>
  </w:endnotePr>
  <w:compat/>
  <w:docVars>
    <w:docVar w:name="__Grammarly_42____i" w:val="H4sIAAAAAAAEAKtWckksSQxILCpxzi/NK1GyMqwFAAEhoTITAAAA"/>
    <w:docVar w:name="__Grammarly_42___1" w:val="H4sIAAAAAAAEAKtWcslP9kxRslIyNDa0NDQ1MrYwNDU0MDAwNzdV0lEKTi0uzszPAykwrAUAIdE+HywAAAA="/>
  </w:docVars>
  <w:rsids>
    <w:rsidRoot w:val="00F31F3C"/>
    <w:rsid w:val="00000994"/>
    <w:rsid w:val="000042C9"/>
    <w:rsid w:val="00004373"/>
    <w:rsid w:val="00004BDE"/>
    <w:rsid w:val="00005459"/>
    <w:rsid w:val="000144B4"/>
    <w:rsid w:val="00014AC1"/>
    <w:rsid w:val="0002439E"/>
    <w:rsid w:val="00024BE6"/>
    <w:rsid w:val="000328FC"/>
    <w:rsid w:val="00035C40"/>
    <w:rsid w:val="0004130F"/>
    <w:rsid w:val="00044B31"/>
    <w:rsid w:val="000451BC"/>
    <w:rsid w:val="00046642"/>
    <w:rsid w:val="00047D06"/>
    <w:rsid w:val="00050974"/>
    <w:rsid w:val="0005259D"/>
    <w:rsid w:val="00053819"/>
    <w:rsid w:val="00055844"/>
    <w:rsid w:val="00067356"/>
    <w:rsid w:val="00080D29"/>
    <w:rsid w:val="00081BE5"/>
    <w:rsid w:val="000821F1"/>
    <w:rsid w:val="00086575"/>
    <w:rsid w:val="0009124E"/>
    <w:rsid w:val="000951B8"/>
    <w:rsid w:val="00097356"/>
    <w:rsid w:val="000A583A"/>
    <w:rsid w:val="000A7071"/>
    <w:rsid w:val="000A7BFD"/>
    <w:rsid w:val="000B2994"/>
    <w:rsid w:val="000B31BD"/>
    <w:rsid w:val="000C00F6"/>
    <w:rsid w:val="000C2127"/>
    <w:rsid w:val="000C2520"/>
    <w:rsid w:val="000C3117"/>
    <w:rsid w:val="000C4362"/>
    <w:rsid w:val="000C562B"/>
    <w:rsid w:val="000D6882"/>
    <w:rsid w:val="000D795A"/>
    <w:rsid w:val="000E5CE4"/>
    <w:rsid w:val="000E6043"/>
    <w:rsid w:val="000E7971"/>
    <w:rsid w:val="000F086D"/>
    <w:rsid w:val="000F15DE"/>
    <w:rsid w:val="000F2684"/>
    <w:rsid w:val="000F7DB8"/>
    <w:rsid w:val="0010385C"/>
    <w:rsid w:val="00103B47"/>
    <w:rsid w:val="001057C9"/>
    <w:rsid w:val="00105C95"/>
    <w:rsid w:val="0010738F"/>
    <w:rsid w:val="00107820"/>
    <w:rsid w:val="00113A0A"/>
    <w:rsid w:val="00113E22"/>
    <w:rsid w:val="00115216"/>
    <w:rsid w:val="00116097"/>
    <w:rsid w:val="00116DBD"/>
    <w:rsid w:val="00123134"/>
    <w:rsid w:val="001310CE"/>
    <w:rsid w:val="001319D5"/>
    <w:rsid w:val="00132DF1"/>
    <w:rsid w:val="00133BCA"/>
    <w:rsid w:val="00134259"/>
    <w:rsid w:val="00135A82"/>
    <w:rsid w:val="001372DA"/>
    <w:rsid w:val="001419FD"/>
    <w:rsid w:val="00143454"/>
    <w:rsid w:val="00143F26"/>
    <w:rsid w:val="00150798"/>
    <w:rsid w:val="00151675"/>
    <w:rsid w:val="0015329D"/>
    <w:rsid w:val="00157D1A"/>
    <w:rsid w:val="00160009"/>
    <w:rsid w:val="00162FA3"/>
    <w:rsid w:val="00165BCF"/>
    <w:rsid w:val="001714E5"/>
    <w:rsid w:val="00172639"/>
    <w:rsid w:val="00174CE6"/>
    <w:rsid w:val="00177D73"/>
    <w:rsid w:val="00180C6E"/>
    <w:rsid w:val="00184591"/>
    <w:rsid w:val="001848C4"/>
    <w:rsid w:val="00184958"/>
    <w:rsid w:val="00185333"/>
    <w:rsid w:val="0018741C"/>
    <w:rsid w:val="00195C66"/>
    <w:rsid w:val="00195FCA"/>
    <w:rsid w:val="001A0142"/>
    <w:rsid w:val="001A0527"/>
    <w:rsid w:val="001A5839"/>
    <w:rsid w:val="001B4784"/>
    <w:rsid w:val="001B513E"/>
    <w:rsid w:val="001C19D9"/>
    <w:rsid w:val="001C3B7C"/>
    <w:rsid w:val="001C47B4"/>
    <w:rsid w:val="001C5E8B"/>
    <w:rsid w:val="001D23DE"/>
    <w:rsid w:val="001D24AB"/>
    <w:rsid w:val="001D2E0C"/>
    <w:rsid w:val="001D62DB"/>
    <w:rsid w:val="001D7FD9"/>
    <w:rsid w:val="001E00B1"/>
    <w:rsid w:val="001E019D"/>
    <w:rsid w:val="001E121C"/>
    <w:rsid w:val="001E19CB"/>
    <w:rsid w:val="001E20A3"/>
    <w:rsid w:val="001E28F7"/>
    <w:rsid w:val="001F2F01"/>
    <w:rsid w:val="001F3D4A"/>
    <w:rsid w:val="002035C6"/>
    <w:rsid w:val="002036CC"/>
    <w:rsid w:val="00207020"/>
    <w:rsid w:val="002131AB"/>
    <w:rsid w:val="00215298"/>
    <w:rsid w:val="00215CBD"/>
    <w:rsid w:val="00220F89"/>
    <w:rsid w:val="0022214E"/>
    <w:rsid w:val="002238FC"/>
    <w:rsid w:val="002245FC"/>
    <w:rsid w:val="00231569"/>
    <w:rsid w:val="00242DFE"/>
    <w:rsid w:val="002459A9"/>
    <w:rsid w:val="00252E59"/>
    <w:rsid w:val="002540AC"/>
    <w:rsid w:val="002564D0"/>
    <w:rsid w:val="00256B5C"/>
    <w:rsid w:val="002574E5"/>
    <w:rsid w:val="00257ED8"/>
    <w:rsid w:val="002610E0"/>
    <w:rsid w:val="00263F1F"/>
    <w:rsid w:val="00264888"/>
    <w:rsid w:val="002675B9"/>
    <w:rsid w:val="002727F0"/>
    <w:rsid w:val="00273BDD"/>
    <w:rsid w:val="00276EDE"/>
    <w:rsid w:val="002801CD"/>
    <w:rsid w:val="00280564"/>
    <w:rsid w:val="002825E7"/>
    <w:rsid w:val="00285CE3"/>
    <w:rsid w:val="00287864"/>
    <w:rsid w:val="00290097"/>
    <w:rsid w:val="00290C68"/>
    <w:rsid w:val="002A74DA"/>
    <w:rsid w:val="002B058C"/>
    <w:rsid w:val="002B2390"/>
    <w:rsid w:val="002B56CE"/>
    <w:rsid w:val="002B6723"/>
    <w:rsid w:val="002B6FAC"/>
    <w:rsid w:val="002C1EEC"/>
    <w:rsid w:val="002C293E"/>
    <w:rsid w:val="002C2976"/>
    <w:rsid w:val="002C4EA8"/>
    <w:rsid w:val="002C5F73"/>
    <w:rsid w:val="002D1501"/>
    <w:rsid w:val="002D339D"/>
    <w:rsid w:val="002D6F10"/>
    <w:rsid w:val="002D76A4"/>
    <w:rsid w:val="002E0AE4"/>
    <w:rsid w:val="002E1349"/>
    <w:rsid w:val="002E69E0"/>
    <w:rsid w:val="002F13F7"/>
    <w:rsid w:val="002F566E"/>
    <w:rsid w:val="002F68B1"/>
    <w:rsid w:val="00300E3A"/>
    <w:rsid w:val="00301C3F"/>
    <w:rsid w:val="003145E3"/>
    <w:rsid w:val="00315F60"/>
    <w:rsid w:val="00320511"/>
    <w:rsid w:val="00321CE0"/>
    <w:rsid w:val="00321D1D"/>
    <w:rsid w:val="00323349"/>
    <w:rsid w:val="003304AC"/>
    <w:rsid w:val="0033089B"/>
    <w:rsid w:val="00331A2B"/>
    <w:rsid w:val="00332DAE"/>
    <w:rsid w:val="003342F4"/>
    <w:rsid w:val="003346F8"/>
    <w:rsid w:val="00335DDA"/>
    <w:rsid w:val="0033663F"/>
    <w:rsid w:val="00341EE1"/>
    <w:rsid w:val="003438AA"/>
    <w:rsid w:val="00346266"/>
    <w:rsid w:val="00352807"/>
    <w:rsid w:val="00355A3B"/>
    <w:rsid w:val="00355FDD"/>
    <w:rsid w:val="00356899"/>
    <w:rsid w:val="00360124"/>
    <w:rsid w:val="00362087"/>
    <w:rsid w:val="00362C33"/>
    <w:rsid w:val="00363494"/>
    <w:rsid w:val="0036354E"/>
    <w:rsid w:val="00364D57"/>
    <w:rsid w:val="00365276"/>
    <w:rsid w:val="00365A1B"/>
    <w:rsid w:val="00370D51"/>
    <w:rsid w:val="0037147A"/>
    <w:rsid w:val="003735BF"/>
    <w:rsid w:val="00375018"/>
    <w:rsid w:val="003754A0"/>
    <w:rsid w:val="003758D5"/>
    <w:rsid w:val="00376169"/>
    <w:rsid w:val="00376D2B"/>
    <w:rsid w:val="003802E7"/>
    <w:rsid w:val="00381641"/>
    <w:rsid w:val="00382261"/>
    <w:rsid w:val="00383BCF"/>
    <w:rsid w:val="003869CD"/>
    <w:rsid w:val="003871DD"/>
    <w:rsid w:val="003874AE"/>
    <w:rsid w:val="00387F53"/>
    <w:rsid w:val="003962EB"/>
    <w:rsid w:val="00397109"/>
    <w:rsid w:val="00397198"/>
    <w:rsid w:val="003A6383"/>
    <w:rsid w:val="003B2694"/>
    <w:rsid w:val="003B4E1B"/>
    <w:rsid w:val="003B5335"/>
    <w:rsid w:val="003B6736"/>
    <w:rsid w:val="003B6739"/>
    <w:rsid w:val="003B7C58"/>
    <w:rsid w:val="003C28D9"/>
    <w:rsid w:val="003C3A13"/>
    <w:rsid w:val="003C40F0"/>
    <w:rsid w:val="003C6165"/>
    <w:rsid w:val="003C6377"/>
    <w:rsid w:val="003C6B18"/>
    <w:rsid w:val="003C7A84"/>
    <w:rsid w:val="003D0525"/>
    <w:rsid w:val="003D078F"/>
    <w:rsid w:val="003D2221"/>
    <w:rsid w:val="003D2B54"/>
    <w:rsid w:val="003D42CE"/>
    <w:rsid w:val="003D51B9"/>
    <w:rsid w:val="003D664D"/>
    <w:rsid w:val="003D6B8C"/>
    <w:rsid w:val="003E20F5"/>
    <w:rsid w:val="003E3E50"/>
    <w:rsid w:val="003E69CB"/>
    <w:rsid w:val="003F0E0E"/>
    <w:rsid w:val="003F38A1"/>
    <w:rsid w:val="003F4F26"/>
    <w:rsid w:val="00400012"/>
    <w:rsid w:val="0040511A"/>
    <w:rsid w:val="00410804"/>
    <w:rsid w:val="00411B8F"/>
    <w:rsid w:val="00424110"/>
    <w:rsid w:val="004243F5"/>
    <w:rsid w:val="00430589"/>
    <w:rsid w:val="00431FE2"/>
    <w:rsid w:val="004340B0"/>
    <w:rsid w:val="0043648F"/>
    <w:rsid w:val="0044150A"/>
    <w:rsid w:val="004420CB"/>
    <w:rsid w:val="004429A4"/>
    <w:rsid w:val="00442FDC"/>
    <w:rsid w:val="004442B6"/>
    <w:rsid w:val="00444BA3"/>
    <w:rsid w:val="0044653F"/>
    <w:rsid w:val="004477DC"/>
    <w:rsid w:val="00447C12"/>
    <w:rsid w:val="00452217"/>
    <w:rsid w:val="0045233C"/>
    <w:rsid w:val="00453193"/>
    <w:rsid w:val="004605F1"/>
    <w:rsid w:val="0046329F"/>
    <w:rsid w:val="0046641F"/>
    <w:rsid w:val="004673FB"/>
    <w:rsid w:val="004731E4"/>
    <w:rsid w:val="00473EBC"/>
    <w:rsid w:val="0047503A"/>
    <w:rsid w:val="00476090"/>
    <w:rsid w:val="004761F0"/>
    <w:rsid w:val="004764DA"/>
    <w:rsid w:val="00476840"/>
    <w:rsid w:val="004820E7"/>
    <w:rsid w:val="0048281D"/>
    <w:rsid w:val="004833F8"/>
    <w:rsid w:val="00483930"/>
    <w:rsid w:val="00484D0C"/>
    <w:rsid w:val="00486715"/>
    <w:rsid w:val="00487E12"/>
    <w:rsid w:val="00490C57"/>
    <w:rsid w:val="004928A9"/>
    <w:rsid w:val="00492E30"/>
    <w:rsid w:val="00495CF3"/>
    <w:rsid w:val="004A0FF6"/>
    <w:rsid w:val="004A14B5"/>
    <w:rsid w:val="004A1CB2"/>
    <w:rsid w:val="004A49E7"/>
    <w:rsid w:val="004B3AD4"/>
    <w:rsid w:val="004B6704"/>
    <w:rsid w:val="004C2403"/>
    <w:rsid w:val="004D2DBC"/>
    <w:rsid w:val="004D48AE"/>
    <w:rsid w:val="004D4D5D"/>
    <w:rsid w:val="004D60C0"/>
    <w:rsid w:val="004D7AE7"/>
    <w:rsid w:val="004E0449"/>
    <w:rsid w:val="004E0A30"/>
    <w:rsid w:val="004E40EC"/>
    <w:rsid w:val="004F1E8D"/>
    <w:rsid w:val="004F2661"/>
    <w:rsid w:val="004F2925"/>
    <w:rsid w:val="004F678C"/>
    <w:rsid w:val="00500554"/>
    <w:rsid w:val="005008F0"/>
    <w:rsid w:val="00501970"/>
    <w:rsid w:val="00502E12"/>
    <w:rsid w:val="00503BEF"/>
    <w:rsid w:val="00503D24"/>
    <w:rsid w:val="00504684"/>
    <w:rsid w:val="00505930"/>
    <w:rsid w:val="00507E62"/>
    <w:rsid w:val="005101C6"/>
    <w:rsid w:val="005107ED"/>
    <w:rsid w:val="00513E12"/>
    <w:rsid w:val="00513EC2"/>
    <w:rsid w:val="005168A9"/>
    <w:rsid w:val="0052065D"/>
    <w:rsid w:val="00521FC9"/>
    <w:rsid w:val="005232AA"/>
    <w:rsid w:val="00523CFD"/>
    <w:rsid w:val="0053225F"/>
    <w:rsid w:val="0053408F"/>
    <w:rsid w:val="005440BF"/>
    <w:rsid w:val="00544295"/>
    <w:rsid w:val="005504D0"/>
    <w:rsid w:val="00551571"/>
    <w:rsid w:val="00552889"/>
    <w:rsid w:val="00553FAB"/>
    <w:rsid w:val="00561118"/>
    <w:rsid w:val="00561D8C"/>
    <w:rsid w:val="00566EC0"/>
    <w:rsid w:val="00567A2A"/>
    <w:rsid w:val="005816FD"/>
    <w:rsid w:val="00581805"/>
    <w:rsid w:val="0058224E"/>
    <w:rsid w:val="00582CBF"/>
    <w:rsid w:val="00585F8B"/>
    <w:rsid w:val="00586A4F"/>
    <w:rsid w:val="00586A84"/>
    <w:rsid w:val="00592DB9"/>
    <w:rsid w:val="00593C5C"/>
    <w:rsid w:val="0059407A"/>
    <w:rsid w:val="0059433E"/>
    <w:rsid w:val="00595888"/>
    <w:rsid w:val="00596101"/>
    <w:rsid w:val="005A0174"/>
    <w:rsid w:val="005A309A"/>
    <w:rsid w:val="005A3F0D"/>
    <w:rsid w:val="005A6673"/>
    <w:rsid w:val="005A6A07"/>
    <w:rsid w:val="005B40EA"/>
    <w:rsid w:val="005B7CC6"/>
    <w:rsid w:val="005C5781"/>
    <w:rsid w:val="005D1549"/>
    <w:rsid w:val="005D1C28"/>
    <w:rsid w:val="005D26F8"/>
    <w:rsid w:val="005D34DF"/>
    <w:rsid w:val="005D4B63"/>
    <w:rsid w:val="005D610F"/>
    <w:rsid w:val="005E5D28"/>
    <w:rsid w:val="005E6A14"/>
    <w:rsid w:val="005E7052"/>
    <w:rsid w:val="005E7149"/>
    <w:rsid w:val="005F080B"/>
    <w:rsid w:val="005F12E3"/>
    <w:rsid w:val="005F2393"/>
    <w:rsid w:val="005F5F23"/>
    <w:rsid w:val="005F6ADA"/>
    <w:rsid w:val="005F7E5D"/>
    <w:rsid w:val="00602E40"/>
    <w:rsid w:val="00604780"/>
    <w:rsid w:val="00604C01"/>
    <w:rsid w:val="0060524D"/>
    <w:rsid w:val="00606214"/>
    <w:rsid w:val="00611D6F"/>
    <w:rsid w:val="00613075"/>
    <w:rsid w:val="00615C3E"/>
    <w:rsid w:val="0063288F"/>
    <w:rsid w:val="006332D2"/>
    <w:rsid w:val="00634A50"/>
    <w:rsid w:val="006350EB"/>
    <w:rsid w:val="00635A7A"/>
    <w:rsid w:val="00635D95"/>
    <w:rsid w:val="00635DDB"/>
    <w:rsid w:val="00635DE1"/>
    <w:rsid w:val="00640149"/>
    <w:rsid w:val="006428A3"/>
    <w:rsid w:val="0065032B"/>
    <w:rsid w:val="00653218"/>
    <w:rsid w:val="006576B4"/>
    <w:rsid w:val="0066340E"/>
    <w:rsid w:val="00665C51"/>
    <w:rsid w:val="00666987"/>
    <w:rsid w:val="0067732C"/>
    <w:rsid w:val="00681F44"/>
    <w:rsid w:val="00682363"/>
    <w:rsid w:val="00690F0C"/>
    <w:rsid w:val="00691C96"/>
    <w:rsid w:val="00693090"/>
    <w:rsid w:val="00695548"/>
    <w:rsid w:val="00696020"/>
    <w:rsid w:val="006A1871"/>
    <w:rsid w:val="006A2935"/>
    <w:rsid w:val="006A5ED4"/>
    <w:rsid w:val="006A70AE"/>
    <w:rsid w:val="006A7EFB"/>
    <w:rsid w:val="006B2A42"/>
    <w:rsid w:val="006B7C22"/>
    <w:rsid w:val="006C0DAB"/>
    <w:rsid w:val="006C12BF"/>
    <w:rsid w:val="006C198C"/>
    <w:rsid w:val="006C2A5E"/>
    <w:rsid w:val="006C387F"/>
    <w:rsid w:val="006C6C15"/>
    <w:rsid w:val="006D0FF3"/>
    <w:rsid w:val="006D1EBF"/>
    <w:rsid w:val="006E5B0F"/>
    <w:rsid w:val="006E724D"/>
    <w:rsid w:val="006E72AC"/>
    <w:rsid w:val="006F022D"/>
    <w:rsid w:val="006F65D3"/>
    <w:rsid w:val="006F7AA1"/>
    <w:rsid w:val="0070129D"/>
    <w:rsid w:val="0070373A"/>
    <w:rsid w:val="00704AB7"/>
    <w:rsid w:val="007061EE"/>
    <w:rsid w:val="007101F3"/>
    <w:rsid w:val="007118A6"/>
    <w:rsid w:val="00723AD5"/>
    <w:rsid w:val="007263CB"/>
    <w:rsid w:val="00726750"/>
    <w:rsid w:val="00730F41"/>
    <w:rsid w:val="00732675"/>
    <w:rsid w:val="007342CE"/>
    <w:rsid w:val="007346F5"/>
    <w:rsid w:val="00734776"/>
    <w:rsid w:val="007374B7"/>
    <w:rsid w:val="007378DD"/>
    <w:rsid w:val="007401BA"/>
    <w:rsid w:val="00740BA8"/>
    <w:rsid w:val="007414F9"/>
    <w:rsid w:val="00741785"/>
    <w:rsid w:val="00744A7D"/>
    <w:rsid w:val="00745F17"/>
    <w:rsid w:val="00747B6B"/>
    <w:rsid w:val="00750278"/>
    <w:rsid w:val="0075146D"/>
    <w:rsid w:val="007529EE"/>
    <w:rsid w:val="0075358B"/>
    <w:rsid w:val="00754D15"/>
    <w:rsid w:val="00756948"/>
    <w:rsid w:val="0076083E"/>
    <w:rsid w:val="007608FA"/>
    <w:rsid w:val="00760976"/>
    <w:rsid w:val="007628AB"/>
    <w:rsid w:val="00762FCE"/>
    <w:rsid w:val="00765A3D"/>
    <w:rsid w:val="00771170"/>
    <w:rsid w:val="0077413C"/>
    <w:rsid w:val="007857CA"/>
    <w:rsid w:val="00793DEA"/>
    <w:rsid w:val="00795002"/>
    <w:rsid w:val="007970BC"/>
    <w:rsid w:val="007A36EE"/>
    <w:rsid w:val="007B0849"/>
    <w:rsid w:val="007B11AE"/>
    <w:rsid w:val="007B459F"/>
    <w:rsid w:val="007B4B06"/>
    <w:rsid w:val="007B78AA"/>
    <w:rsid w:val="007C2F27"/>
    <w:rsid w:val="007C3A65"/>
    <w:rsid w:val="007C611D"/>
    <w:rsid w:val="007D1313"/>
    <w:rsid w:val="007D4A58"/>
    <w:rsid w:val="007E0F63"/>
    <w:rsid w:val="007E1B3E"/>
    <w:rsid w:val="007E1B72"/>
    <w:rsid w:val="007E2D4C"/>
    <w:rsid w:val="007E6F40"/>
    <w:rsid w:val="007F0161"/>
    <w:rsid w:val="007F0443"/>
    <w:rsid w:val="007F20E3"/>
    <w:rsid w:val="007F4CD2"/>
    <w:rsid w:val="007F796C"/>
    <w:rsid w:val="008015C2"/>
    <w:rsid w:val="00802318"/>
    <w:rsid w:val="008035D5"/>
    <w:rsid w:val="00804888"/>
    <w:rsid w:val="00805154"/>
    <w:rsid w:val="008070AE"/>
    <w:rsid w:val="00810D22"/>
    <w:rsid w:val="00812656"/>
    <w:rsid w:val="00813EF8"/>
    <w:rsid w:val="00815A69"/>
    <w:rsid w:val="00817430"/>
    <w:rsid w:val="008226C5"/>
    <w:rsid w:val="00822B4E"/>
    <w:rsid w:val="00822C7D"/>
    <w:rsid w:val="00822DEC"/>
    <w:rsid w:val="00823552"/>
    <w:rsid w:val="00826469"/>
    <w:rsid w:val="00831C59"/>
    <w:rsid w:val="0083241C"/>
    <w:rsid w:val="008325F6"/>
    <w:rsid w:val="00834627"/>
    <w:rsid w:val="008361B8"/>
    <w:rsid w:val="008362FB"/>
    <w:rsid w:val="00840EBA"/>
    <w:rsid w:val="008412F4"/>
    <w:rsid w:val="00842D8C"/>
    <w:rsid w:val="0084380F"/>
    <w:rsid w:val="008468CE"/>
    <w:rsid w:val="0085129A"/>
    <w:rsid w:val="00851A85"/>
    <w:rsid w:val="008530AE"/>
    <w:rsid w:val="00854A18"/>
    <w:rsid w:val="00855872"/>
    <w:rsid w:val="008606AD"/>
    <w:rsid w:val="0086277E"/>
    <w:rsid w:val="008632C4"/>
    <w:rsid w:val="00863662"/>
    <w:rsid w:val="00866297"/>
    <w:rsid w:val="00867D35"/>
    <w:rsid w:val="0087096B"/>
    <w:rsid w:val="00871105"/>
    <w:rsid w:val="008818F1"/>
    <w:rsid w:val="008824F2"/>
    <w:rsid w:val="0088288E"/>
    <w:rsid w:val="00885DA3"/>
    <w:rsid w:val="008925CD"/>
    <w:rsid w:val="00892D7C"/>
    <w:rsid w:val="0089359D"/>
    <w:rsid w:val="0089727F"/>
    <w:rsid w:val="008A0748"/>
    <w:rsid w:val="008A362A"/>
    <w:rsid w:val="008A3AB2"/>
    <w:rsid w:val="008A457E"/>
    <w:rsid w:val="008A7AC4"/>
    <w:rsid w:val="008B3F42"/>
    <w:rsid w:val="008B4531"/>
    <w:rsid w:val="008B4E5E"/>
    <w:rsid w:val="008B6B5B"/>
    <w:rsid w:val="008C3271"/>
    <w:rsid w:val="008C3317"/>
    <w:rsid w:val="008C47E4"/>
    <w:rsid w:val="008D23B2"/>
    <w:rsid w:val="008D6247"/>
    <w:rsid w:val="008D7611"/>
    <w:rsid w:val="008E0279"/>
    <w:rsid w:val="008E0DA1"/>
    <w:rsid w:val="008E1234"/>
    <w:rsid w:val="008E5971"/>
    <w:rsid w:val="008E5BB4"/>
    <w:rsid w:val="008E7384"/>
    <w:rsid w:val="008F06A9"/>
    <w:rsid w:val="008F1722"/>
    <w:rsid w:val="008F67EA"/>
    <w:rsid w:val="00902881"/>
    <w:rsid w:val="009039E8"/>
    <w:rsid w:val="00903CDB"/>
    <w:rsid w:val="0090491E"/>
    <w:rsid w:val="009245DC"/>
    <w:rsid w:val="00924BE7"/>
    <w:rsid w:val="009250DD"/>
    <w:rsid w:val="00931D91"/>
    <w:rsid w:val="00932E74"/>
    <w:rsid w:val="00935657"/>
    <w:rsid w:val="00936086"/>
    <w:rsid w:val="009422BD"/>
    <w:rsid w:val="009456B7"/>
    <w:rsid w:val="00946653"/>
    <w:rsid w:val="00951D09"/>
    <w:rsid w:val="00954675"/>
    <w:rsid w:val="00954AD4"/>
    <w:rsid w:val="00957A11"/>
    <w:rsid w:val="00963488"/>
    <w:rsid w:val="00965113"/>
    <w:rsid w:val="00965678"/>
    <w:rsid w:val="0098335C"/>
    <w:rsid w:val="00983DBF"/>
    <w:rsid w:val="009877D6"/>
    <w:rsid w:val="00991345"/>
    <w:rsid w:val="00991549"/>
    <w:rsid w:val="009921FF"/>
    <w:rsid w:val="00992953"/>
    <w:rsid w:val="00994857"/>
    <w:rsid w:val="0099613C"/>
    <w:rsid w:val="00996674"/>
    <w:rsid w:val="00996892"/>
    <w:rsid w:val="00997FBD"/>
    <w:rsid w:val="009A135C"/>
    <w:rsid w:val="009A698D"/>
    <w:rsid w:val="009B2236"/>
    <w:rsid w:val="009B2C08"/>
    <w:rsid w:val="009C3FB6"/>
    <w:rsid w:val="009C486B"/>
    <w:rsid w:val="009C5624"/>
    <w:rsid w:val="009C5C25"/>
    <w:rsid w:val="009C757F"/>
    <w:rsid w:val="009D0B90"/>
    <w:rsid w:val="009D2B7C"/>
    <w:rsid w:val="009D4F0D"/>
    <w:rsid w:val="009D7561"/>
    <w:rsid w:val="009E1AA3"/>
    <w:rsid w:val="009E1FF0"/>
    <w:rsid w:val="009E3A07"/>
    <w:rsid w:val="009E5CB5"/>
    <w:rsid w:val="009E6E96"/>
    <w:rsid w:val="009F5865"/>
    <w:rsid w:val="009F5FEC"/>
    <w:rsid w:val="009F7208"/>
    <w:rsid w:val="00A02628"/>
    <w:rsid w:val="00A03248"/>
    <w:rsid w:val="00A03F03"/>
    <w:rsid w:val="00A04BFF"/>
    <w:rsid w:val="00A04E17"/>
    <w:rsid w:val="00A0640E"/>
    <w:rsid w:val="00A075DF"/>
    <w:rsid w:val="00A079DF"/>
    <w:rsid w:val="00A13E4B"/>
    <w:rsid w:val="00A1465A"/>
    <w:rsid w:val="00A2115C"/>
    <w:rsid w:val="00A25907"/>
    <w:rsid w:val="00A365B3"/>
    <w:rsid w:val="00A41B02"/>
    <w:rsid w:val="00A41F03"/>
    <w:rsid w:val="00A427E4"/>
    <w:rsid w:val="00A4287F"/>
    <w:rsid w:val="00A440F0"/>
    <w:rsid w:val="00A452F0"/>
    <w:rsid w:val="00A45697"/>
    <w:rsid w:val="00A462A0"/>
    <w:rsid w:val="00A5097C"/>
    <w:rsid w:val="00A55052"/>
    <w:rsid w:val="00A57578"/>
    <w:rsid w:val="00A57EA8"/>
    <w:rsid w:val="00A64C8A"/>
    <w:rsid w:val="00A64F10"/>
    <w:rsid w:val="00A65DC8"/>
    <w:rsid w:val="00A678CE"/>
    <w:rsid w:val="00A7385C"/>
    <w:rsid w:val="00A778A2"/>
    <w:rsid w:val="00A8006B"/>
    <w:rsid w:val="00A816F8"/>
    <w:rsid w:val="00A846DC"/>
    <w:rsid w:val="00A86920"/>
    <w:rsid w:val="00A86AC9"/>
    <w:rsid w:val="00A939B5"/>
    <w:rsid w:val="00A93DAE"/>
    <w:rsid w:val="00A957D8"/>
    <w:rsid w:val="00AA28A1"/>
    <w:rsid w:val="00AA36E1"/>
    <w:rsid w:val="00AA4BD2"/>
    <w:rsid w:val="00AA641B"/>
    <w:rsid w:val="00AA7FE0"/>
    <w:rsid w:val="00AB723D"/>
    <w:rsid w:val="00AC1B27"/>
    <w:rsid w:val="00AC21E1"/>
    <w:rsid w:val="00AC2F9A"/>
    <w:rsid w:val="00AC5E97"/>
    <w:rsid w:val="00AC6435"/>
    <w:rsid w:val="00AD1C07"/>
    <w:rsid w:val="00AD28AE"/>
    <w:rsid w:val="00AD689F"/>
    <w:rsid w:val="00AD7729"/>
    <w:rsid w:val="00AE5741"/>
    <w:rsid w:val="00AE6BB8"/>
    <w:rsid w:val="00AF000D"/>
    <w:rsid w:val="00AF5290"/>
    <w:rsid w:val="00AF6A7E"/>
    <w:rsid w:val="00AF7218"/>
    <w:rsid w:val="00B03E5B"/>
    <w:rsid w:val="00B04259"/>
    <w:rsid w:val="00B04644"/>
    <w:rsid w:val="00B0479B"/>
    <w:rsid w:val="00B07B5C"/>
    <w:rsid w:val="00B10AB3"/>
    <w:rsid w:val="00B16B28"/>
    <w:rsid w:val="00B17535"/>
    <w:rsid w:val="00B203AF"/>
    <w:rsid w:val="00B20431"/>
    <w:rsid w:val="00B21B6E"/>
    <w:rsid w:val="00B25F4E"/>
    <w:rsid w:val="00B2666D"/>
    <w:rsid w:val="00B37D65"/>
    <w:rsid w:val="00B40BB5"/>
    <w:rsid w:val="00B40ECA"/>
    <w:rsid w:val="00B42E1D"/>
    <w:rsid w:val="00B43834"/>
    <w:rsid w:val="00B44EA1"/>
    <w:rsid w:val="00B461AB"/>
    <w:rsid w:val="00B567C5"/>
    <w:rsid w:val="00B5734C"/>
    <w:rsid w:val="00B62057"/>
    <w:rsid w:val="00B662AE"/>
    <w:rsid w:val="00B67F83"/>
    <w:rsid w:val="00B72BA9"/>
    <w:rsid w:val="00B73126"/>
    <w:rsid w:val="00B744B4"/>
    <w:rsid w:val="00B74582"/>
    <w:rsid w:val="00B772DA"/>
    <w:rsid w:val="00B82762"/>
    <w:rsid w:val="00B8363C"/>
    <w:rsid w:val="00B84BFE"/>
    <w:rsid w:val="00B91529"/>
    <w:rsid w:val="00B924E9"/>
    <w:rsid w:val="00B9742A"/>
    <w:rsid w:val="00BA366F"/>
    <w:rsid w:val="00BA5CE3"/>
    <w:rsid w:val="00BA61CB"/>
    <w:rsid w:val="00BB18B2"/>
    <w:rsid w:val="00BB2AF9"/>
    <w:rsid w:val="00BB2FA8"/>
    <w:rsid w:val="00BB73A2"/>
    <w:rsid w:val="00BC020D"/>
    <w:rsid w:val="00BC2715"/>
    <w:rsid w:val="00BC2D41"/>
    <w:rsid w:val="00BC5720"/>
    <w:rsid w:val="00BC5F17"/>
    <w:rsid w:val="00BC6DB8"/>
    <w:rsid w:val="00BD08A8"/>
    <w:rsid w:val="00BD1840"/>
    <w:rsid w:val="00BD69E3"/>
    <w:rsid w:val="00BE298D"/>
    <w:rsid w:val="00BF090A"/>
    <w:rsid w:val="00BF207E"/>
    <w:rsid w:val="00BF2912"/>
    <w:rsid w:val="00BF308A"/>
    <w:rsid w:val="00BF3EB1"/>
    <w:rsid w:val="00BF540A"/>
    <w:rsid w:val="00BF6BB7"/>
    <w:rsid w:val="00C00210"/>
    <w:rsid w:val="00C0108B"/>
    <w:rsid w:val="00C01414"/>
    <w:rsid w:val="00C01908"/>
    <w:rsid w:val="00C02FC3"/>
    <w:rsid w:val="00C03B96"/>
    <w:rsid w:val="00C05CA2"/>
    <w:rsid w:val="00C05DE7"/>
    <w:rsid w:val="00C105B3"/>
    <w:rsid w:val="00C105F7"/>
    <w:rsid w:val="00C10D2E"/>
    <w:rsid w:val="00C117ED"/>
    <w:rsid w:val="00C12BA6"/>
    <w:rsid w:val="00C203EC"/>
    <w:rsid w:val="00C2151F"/>
    <w:rsid w:val="00C21959"/>
    <w:rsid w:val="00C2463C"/>
    <w:rsid w:val="00C3380D"/>
    <w:rsid w:val="00C3658F"/>
    <w:rsid w:val="00C40FC2"/>
    <w:rsid w:val="00C44999"/>
    <w:rsid w:val="00C45E39"/>
    <w:rsid w:val="00C46F28"/>
    <w:rsid w:val="00C550A3"/>
    <w:rsid w:val="00C55874"/>
    <w:rsid w:val="00C63845"/>
    <w:rsid w:val="00C63A1C"/>
    <w:rsid w:val="00C63F3B"/>
    <w:rsid w:val="00C63FAC"/>
    <w:rsid w:val="00C66D14"/>
    <w:rsid w:val="00C71244"/>
    <w:rsid w:val="00C80AAB"/>
    <w:rsid w:val="00C80CC0"/>
    <w:rsid w:val="00C81972"/>
    <w:rsid w:val="00C854A4"/>
    <w:rsid w:val="00C865E7"/>
    <w:rsid w:val="00C86960"/>
    <w:rsid w:val="00C97E4B"/>
    <w:rsid w:val="00CA0DE1"/>
    <w:rsid w:val="00CB175E"/>
    <w:rsid w:val="00CB1A85"/>
    <w:rsid w:val="00CB2440"/>
    <w:rsid w:val="00CB4C37"/>
    <w:rsid w:val="00CB5211"/>
    <w:rsid w:val="00CB6019"/>
    <w:rsid w:val="00CB6106"/>
    <w:rsid w:val="00CB79C1"/>
    <w:rsid w:val="00CC1240"/>
    <w:rsid w:val="00CC57F8"/>
    <w:rsid w:val="00CD08DF"/>
    <w:rsid w:val="00CD6EA7"/>
    <w:rsid w:val="00CE16D9"/>
    <w:rsid w:val="00CE6580"/>
    <w:rsid w:val="00CF4F94"/>
    <w:rsid w:val="00CF79B8"/>
    <w:rsid w:val="00D056EA"/>
    <w:rsid w:val="00D06AB3"/>
    <w:rsid w:val="00D103CC"/>
    <w:rsid w:val="00D119CD"/>
    <w:rsid w:val="00D15B95"/>
    <w:rsid w:val="00D271D3"/>
    <w:rsid w:val="00D303D6"/>
    <w:rsid w:val="00D345DB"/>
    <w:rsid w:val="00D37742"/>
    <w:rsid w:val="00D42C51"/>
    <w:rsid w:val="00D4776B"/>
    <w:rsid w:val="00D52886"/>
    <w:rsid w:val="00D53A9A"/>
    <w:rsid w:val="00D557C0"/>
    <w:rsid w:val="00D569BD"/>
    <w:rsid w:val="00D606F0"/>
    <w:rsid w:val="00D60F37"/>
    <w:rsid w:val="00D65B4A"/>
    <w:rsid w:val="00D664D1"/>
    <w:rsid w:val="00D70297"/>
    <w:rsid w:val="00D709B8"/>
    <w:rsid w:val="00D71D59"/>
    <w:rsid w:val="00D7266C"/>
    <w:rsid w:val="00D728A1"/>
    <w:rsid w:val="00D74D00"/>
    <w:rsid w:val="00D85AAA"/>
    <w:rsid w:val="00D90AA1"/>
    <w:rsid w:val="00D90ED8"/>
    <w:rsid w:val="00D9382E"/>
    <w:rsid w:val="00D974FA"/>
    <w:rsid w:val="00DA1FE0"/>
    <w:rsid w:val="00DA4A8D"/>
    <w:rsid w:val="00DB011F"/>
    <w:rsid w:val="00DB0398"/>
    <w:rsid w:val="00DB0D4F"/>
    <w:rsid w:val="00DC4EAF"/>
    <w:rsid w:val="00DD02D0"/>
    <w:rsid w:val="00DD0798"/>
    <w:rsid w:val="00DD37AE"/>
    <w:rsid w:val="00DD3C29"/>
    <w:rsid w:val="00DD5069"/>
    <w:rsid w:val="00DD6285"/>
    <w:rsid w:val="00DE6B49"/>
    <w:rsid w:val="00DF2FF8"/>
    <w:rsid w:val="00DF6930"/>
    <w:rsid w:val="00E01249"/>
    <w:rsid w:val="00E01C75"/>
    <w:rsid w:val="00E02E90"/>
    <w:rsid w:val="00E03384"/>
    <w:rsid w:val="00E05D2F"/>
    <w:rsid w:val="00E0741B"/>
    <w:rsid w:val="00E10762"/>
    <w:rsid w:val="00E20260"/>
    <w:rsid w:val="00E23693"/>
    <w:rsid w:val="00E241A5"/>
    <w:rsid w:val="00E2648D"/>
    <w:rsid w:val="00E26D98"/>
    <w:rsid w:val="00E31E8A"/>
    <w:rsid w:val="00E34CB7"/>
    <w:rsid w:val="00E40678"/>
    <w:rsid w:val="00E42A7B"/>
    <w:rsid w:val="00E458E7"/>
    <w:rsid w:val="00E4760C"/>
    <w:rsid w:val="00E47F10"/>
    <w:rsid w:val="00E50838"/>
    <w:rsid w:val="00E527C5"/>
    <w:rsid w:val="00E536D2"/>
    <w:rsid w:val="00E54FEB"/>
    <w:rsid w:val="00E5541A"/>
    <w:rsid w:val="00E57AE6"/>
    <w:rsid w:val="00E6362B"/>
    <w:rsid w:val="00E63BCC"/>
    <w:rsid w:val="00E708C2"/>
    <w:rsid w:val="00E725D5"/>
    <w:rsid w:val="00E726F1"/>
    <w:rsid w:val="00E73383"/>
    <w:rsid w:val="00E73E1E"/>
    <w:rsid w:val="00E74DC6"/>
    <w:rsid w:val="00E75367"/>
    <w:rsid w:val="00E76E3F"/>
    <w:rsid w:val="00E819B6"/>
    <w:rsid w:val="00E843F7"/>
    <w:rsid w:val="00E8462D"/>
    <w:rsid w:val="00E8530F"/>
    <w:rsid w:val="00E92EB6"/>
    <w:rsid w:val="00E93699"/>
    <w:rsid w:val="00E96EB7"/>
    <w:rsid w:val="00EA1FAF"/>
    <w:rsid w:val="00EA3834"/>
    <w:rsid w:val="00EA39C6"/>
    <w:rsid w:val="00EA7D95"/>
    <w:rsid w:val="00EB03E8"/>
    <w:rsid w:val="00EB1636"/>
    <w:rsid w:val="00EC1610"/>
    <w:rsid w:val="00EC1945"/>
    <w:rsid w:val="00EC49DA"/>
    <w:rsid w:val="00ED40FA"/>
    <w:rsid w:val="00ED4C61"/>
    <w:rsid w:val="00ED5D15"/>
    <w:rsid w:val="00ED7B14"/>
    <w:rsid w:val="00EE1926"/>
    <w:rsid w:val="00EE28AF"/>
    <w:rsid w:val="00EE4C20"/>
    <w:rsid w:val="00EE4EA2"/>
    <w:rsid w:val="00EF03C1"/>
    <w:rsid w:val="00EF0D63"/>
    <w:rsid w:val="00EF2B2F"/>
    <w:rsid w:val="00EF2E05"/>
    <w:rsid w:val="00EF4062"/>
    <w:rsid w:val="00EF44B9"/>
    <w:rsid w:val="00EF4CC4"/>
    <w:rsid w:val="00EF6144"/>
    <w:rsid w:val="00EF6AC3"/>
    <w:rsid w:val="00F00869"/>
    <w:rsid w:val="00F02826"/>
    <w:rsid w:val="00F0679F"/>
    <w:rsid w:val="00F11D67"/>
    <w:rsid w:val="00F14DE1"/>
    <w:rsid w:val="00F17407"/>
    <w:rsid w:val="00F2119C"/>
    <w:rsid w:val="00F22D6E"/>
    <w:rsid w:val="00F233AC"/>
    <w:rsid w:val="00F27991"/>
    <w:rsid w:val="00F31F3C"/>
    <w:rsid w:val="00F34A0A"/>
    <w:rsid w:val="00F34AC2"/>
    <w:rsid w:val="00F44604"/>
    <w:rsid w:val="00F53991"/>
    <w:rsid w:val="00F55254"/>
    <w:rsid w:val="00F55C91"/>
    <w:rsid w:val="00F563A9"/>
    <w:rsid w:val="00F72991"/>
    <w:rsid w:val="00F73977"/>
    <w:rsid w:val="00F775AD"/>
    <w:rsid w:val="00F81A9E"/>
    <w:rsid w:val="00F83E31"/>
    <w:rsid w:val="00F850AA"/>
    <w:rsid w:val="00F8576E"/>
    <w:rsid w:val="00F87F10"/>
    <w:rsid w:val="00F93D11"/>
    <w:rsid w:val="00F93DCB"/>
    <w:rsid w:val="00F93EC2"/>
    <w:rsid w:val="00F94A95"/>
    <w:rsid w:val="00F96E50"/>
    <w:rsid w:val="00F96EB2"/>
    <w:rsid w:val="00FA0640"/>
    <w:rsid w:val="00FA0790"/>
    <w:rsid w:val="00FA0FEF"/>
    <w:rsid w:val="00FA17E4"/>
    <w:rsid w:val="00FA46D3"/>
    <w:rsid w:val="00FA59A8"/>
    <w:rsid w:val="00FA5E02"/>
    <w:rsid w:val="00FB3E91"/>
    <w:rsid w:val="00FB4873"/>
    <w:rsid w:val="00FC2470"/>
    <w:rsid w:val="00FC306F"/>
    <w:rsid w:val="00FC67D3"/>
    <w:rsid w:val="00FD0187"/>
    <w:rsid w:val="00FD2CE1"/>
    <w:rsid w:val="00FD31F7"/>
    <w:rsid w:val="00FD53B1"/>
    <w:rsid w:val="00FD5978"/>
    <w:rsid w:val="00FE0C0E"/>
    <w:rsid w:val="00FE4B99"/>
    <w:rsid w:val="00FE64A7"/>
    <w:rsid w:val="00FE77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1" w:defUIPriority="99" w:defSemiHidden="1" w:defUnhideWhenUsed="0" w:defQFormat="0" w:count="267">
    <w:lsdException w:name="Normal" w:locked="0" w:semiHidden="0" w:uiPriority="0" w:qFormat="1"/>
    <w:lsdException w:name="heading 1" w:locked="0" w:semiHidden="0" w:uiPriority="13" w:qFormat="1"/>
    <w:lsdException w:name="heading 2" w:locked="0" w:uiPriority="13" w:unhideWhenUsed="1" w:qFormat="1"/>
    <w:lsdException w:name="heading 3" w:locked="0" w:uiPriority="13" w:unhideWhenUsed="1" w:qFormat="1"/>
    <w:lsdException w:name="heading 4" w:locked="0" w:uiPriority="13" w:unhideWhenUsed="1" w:qFormat="1"/>
    <w:lsdException w:name="heading 5" w:locked="0" w:uiPriority="13" w:unhideWhenUsed="1" w:qFormat="1"/>
    <w:lsdException w:name="heading 6" w:locked="0" w:uiPriority="9" w:unhideWhenUsed="1" w:qFormat="1"/>
    <w:lsdException w:name="heading 7" w:locked="0" w:uiPriority="9" w:unhideWhenUsed="1" w:qFormat="1"/>
    <w:lsdException w:name="heading 8" w:uiPriority="9" w:qFormat="1"/>
    <w:lsdException w:name="heading 9" w:uiPriority="9" w:qFormat="1"/>
    <w:lsdException w:name="toc 1" w:locked="0" w:uiPriority="39" w:unhideWhenUsed="1" w:qFormat="1"/>
    <w:lsdException w:name="toc 2" w:locked="0" w:uiPriority="39" w:unhideWhenUsed="1" w:qFormat="1"/>
    <w:lsdException w:name="toc 3" w:locked="0" w:uiPriority="39" w:unhideWhenUsed="1" w:qFormat="1"/>
    <w:lsdException w:name="toc 4" w:locked="0" w:uiPriority="39" w:unhideWhenUsed="1"/>
    <w:lsdException w:name="toc 5" w:locked="0" w:uiPriority="39" w:unhideWhenUsed="1"/>
    <w:lsdException w:name="toc 6" w:locked="0" w:uiPriority="39" w:unhideWhenUsed="1"/>
    <w:lsdException w:name="toc 7" w:locked="0" w:uiPriority="39" w:unhideWhenUsed="1"/>
    <w:lsdException w:name="toc 8" w:locked="0" w:uiPriority="39" w:unhideWhenUsed="1"/>
    <w:lsdException w:name="toc 9" w:locked="0" w:uiPriority="39" w:unhideWhenUsed="1"/>
    <w:lsdException w:name="Normal Indent" w:locked="0"/>
    <w:lsdException w:name="footnote text" w:locked="0" w:uiPriority="27" w:unhideWhenUsed="1" w:qFormat="1"/>
    <w:lsdException w:name="header" w:locked="0" w:uiPriority="27" w:unhideWhenUsed="1" w:qFormat="1"/>
    <w:lsdException w:name="footer" w:locked="0" w:uiPriority="27" w:unhideWhenUsed="1" w:qFormat="1"/>
    <w:lsdException w:name="caption" w:uiPriority="35" w:qFormat="1"/>
    <w:lsdException w:name="table of figures" w:locked="0" w:unhideWhenUsed="1"/>
    <w:lsdException w:name="footnote reference" w:locked="0" w:unhideWhenUsed="1"/>
    <w:lsdException w:name="page number" w:locked="0" w:uiPriority="27" w:unhideWhenUsed="1" w:qFormat="1"/>
    <w:lsdException w:name="endnote reference" w:locked="0" w:unhideWhenUsed="1"/>
    <w:lsdException w:name="endnote text" w:locked="0" w:uiPriority="27" w:unhideWhenUsed="1" w:qFormat="1"/>
    <w:lsdException w:name="table of authorities" w:locked="0" w:unhideWhenUsed="1"/>
    <w:lsdException w:name="macro" w:locked="0"/>
    <w:lsdException w:name="toa heading" w:locked="0"/>
    <w:lsdException w:name="List" w:locked="0"/>
    <w:lsdException w:name="List Bullet" w:locked="0" w:uiPriority="17" w:unhideWhenUsed="1" w:qFormat="1"/>
    <w:lsdException w:name="List Number" w:locked="0" w:uiPriority="17" w:unhideWhenUsed="1" w:qFormat="1"/>
    <w:lsdException w:name="List 2" w:locked="0"/>
    <w:lsdException w:name="List 3" w:locked="0"/>
    <w:lsdException w:name="List Bullet 2" w:locked="0" w:uiPriority="17" w:unhideWhenUsed="1" w:qFormat="1"/>
    <w:lsdException w:name="List Bullet 3" w:locked="0" w:uiPriority="17" w:unhideWhenUsed="1" w:qFormat="1"/>
    <w:lsdException w:name="List Number 2" w:locked="0" w:uiPriority="17" w:unhideWhenUsed="1" w:qFormat="1"/>
    <w:lsdException w:name="List Number 3" w:locked="0" w:uiPriority="17" w:unhideWhenUsed="1" w:qFormat="1"/>
    <w:lsdException w:name="List Number 4" w:locked="0"/>
    <w:lsdException w:name="List Number 5" w:locked="0"/>
    <w:lsdException w:name="Title" w:locked="0" w:semiHidden="0" w:uiPriority="4" w:qFormat="1"/>
    <w:lsdException w:name="Default Paragraph Font" w:locked="0" w:uiPriority="1" w:unhideWhenUsed="1"/>
    <w:lsdException w:name="Body Text" w:locked="0" w:uiPriority="14" w:unhideWhenUsed="1" w:qFormat="1"/>
    <w:lsdException w:name="List Continue 3" w:locked="0"/>
    <w:lsdException w:name="List Continue 4" w:locked="0"/>
    <w:lsdException w:name="List Continue 5" w:locked="0"/>
    <w:lsdException w:name="Message Header" w:locked="0"/>
    <w:lsdException w:name="Subtitle" w:locked="0" w:semiHidden="0" w:uiPriority="5" w:qFormat="1"/>
    <w:lsdException w:name="Date" w:locked="0" w:uiPriority="6" w:unhideWhenUsed="1" w:qFormat="1"/>
    <w:lsdException w:name="Note Heading" w:unhideWhenUsed="1"/>
    <w:lsdException w:name="Body Text 2" w:locked="0" w:uiPriority="14" w:unhideWhenUsed="1" w:qFormat="1"/>
    <w:lsdException w:name="Block Text" w:locked="0"/>
    <w:lsdException w:name="Hyperlink" w:locked="0" w:unhideWhenUsed="1" w:qFormat="1"/>
    <w:lsdException w:name="Strong" w:uiPriority="22" w:qFormat="1"/>
    <w:lsdException w:name="Emphasis" w:uiPriority="20" w:qFormat="1"/>
    <w:lsdException w:name="HTML Top of Form" w:locked="0" w:unhideWhenUsed="1"/>
    <w:lsdException w:name="HTML Bottom of Form" w:locked="0" w:unhideWhenUsed="1"/>
    <w:lsdException w:name="Normal (Web)" w:locked="0"/>
    <w:lsdException w:name="Normal Table" w:locked="0"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locked="0" w:semiHidden="0" w:uiPriority="39"/>
    <w:lsdException w:name="Table Theme" w:unhideWhenUsed="1"/>
    <w:lsdException w:name="Placeholder Text" w:locked="0"/>
    <w:lsdException w:name="No Spacing" w:locked="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locked="0" w:semiHidden="0" w:uiPriority="17" w:qFormat="1"/>
    <w:lsdException w:name="Quote" w:locked="0" w:semiHidden="0" w:uiPriority="24"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0" w:uiPriority="33" w:qFormat="1"/>
    <w:lsdException w:name="Bibliography" w:uiPriority="37"/>
    <w:lsdException w:name="TOC Heading" w:locked="0" w:uiPriority="39" w:unhideWhenUsed="1" w:qFormat="1"/>
  </w:latentStyles>
  <w:style w:type="paragraph" w:default="1" w:styleId="Normal">
    <w:name w:val="Normal"/>
    <w:unhideWhenUsed/>
    <w:qFormat/>
    <w:rsid w:val="00E01249"/>
  </w:style>
  <w:style w:type="paragraph" w:styleId="Heading1">
    <w:name w:val="heading 1"/>
    <w:next w:val="BodyText"/>
    <w:link w:val="Heading1Char"/>
    <w:uiPriority w:val="13"/>
    <w:qFormat/>
    <w:rsid w:val="00831C59"/>
    <w:pPr>
      <w:keepNext/>
      <w:keepLines/>
      <w:suppressAutoHyphens/>
      <w:spacing w:before="240" w:after="180"/>
      <w:outlineLvl w:val="0"/>
    </w:pPr>
    <w:rPr>
      <w:rFonts w:ascii="Swis721 Cn BT" w:eastAsiaTheme="majorEastAsia" w:hAnsi="Swis721 Cn BT" w:cstheme="majorBidi"/>
      <w:b/>
      <w:bCs/>
      <w:iCs/>
      <w:caps/>
      <w:color w:val="FFB602"/>
      <w:sz w:val="36"/>
      <w:szCs w:val="36"/>
    </w:rPr>
  </w:style>
  <w:style w:type="paragraph" w:styleId="Heading2">
    <w:name w:val="heading 2"/>
    <w:next w:val="BodyText"/>
    <w:link w:val="Heading2Char"/>
    <w:uiPriority w:val="13"/>
    <w:qFormat/>
    <w:rsid w:val="00831C59"/>
    <w:pPr>
      <w:keepNext/>
      <w:keepLines/>
      <w:suppressAutoHyphens/>
      <w:spacing w:before="240" w:after="180"/>
      <w:outlineLvl w:val="1"/>
    </w:pPr>
    <w:rPr>
      <w:rFonts w:ascii="Swis721 Cn BT" w:eastAsiaTheme="majorEastAsia" w:hAnsi="Swis721 Cn BT" w:cstheme="majorBidi"/>
      <w:b/>
      <w:bCs/>
      <w:iCs/>
      <w:caps/>
      <w:color w:val="000000" w:themeColor="text1"/>
      <w:sz w:val="30"/>
      <w:szCs w:val="30"/>
    </w:rPr>
  </w:style>
  <w:style w:type="paragraph" w:styleId="Heading3">
    <w:name w:val="heading 3"/>
    <w:next w:val="BodyText"/>
    <w:link w:val="Heading3Char"/>
    <w:uiPriority w:val="13"/>
    <w:qFormat/>
    <w:rsid w:val="00831C59"/>
    <w:pPr>
      <w:keepNext/>
      <w:keepLines/>
      <w:suppressAutoHyphens/>
      <w:spacing w:before="60" w:after="120" w:line="300" w:lineRule="auto"/>
      <w:outlineLvl w:val="2"/>
    </w:pPr>
    <w:rPr>
      <w:rFonts w:ascii="Georgia" w:eastAsiaTheme="majorEastAsia" w:hAnsi="Georgia" w:cstheme="majorBidi"/>
      <w:b/>
      <w:bCs/>
      <w:iCs/>
      <w:color w:val="000000" w:themeColor="text1"/>
      <w:sz w:val="22"/>
      <w:szCs w:val="22"/>
    </w:rPr>
  </w:style>
  <w:style w:type="paragraph" w:styleId="Heading4">
    <w:name w:val="heading 4"/>
    <w:next w:val="BodyText"/>
    <w:link w:val="Heading4Char"/>
    <w:uiPriority w:val="13"/>
    <w:qFormat/>
    <w:rsid w:val="00831C59"/>
    <w:pPr>
      <w:keepNext/>
      <w:keepLines/>
      <w:suppressAutoHyphens/>
      <w:spacing w:before="60" w:after="60" w:line="300" w:lineRule="auto"/>
      <w:outlineLvl w:val="3"/>
    </w:pPr>
    <w:rPr>
      <w:rFonts w:ascii="Swis721 Lt BT Light" w:eastAsiaTheme="majorEastAsia" w:hAnsi="Swis721 Lt BT Light" w:cstheme="majorBidi"/>
      <w:iCs/>
      <w:color w:val="000000" w:themeColor="text1"/>
      <w:sz w:val="22"/>
      <w:szCs w:val="20"/>
    </w:rPr>
  </w:style>
  <w:style w:type="paragraph" w:styleId="Heading5">
    <w:name w:val="heading 5"/>
    <w:next w:val="BodyText"/>
    <w:link w:val="Heading5Char"/>
    <w:uiPriority w:val="13"/>
    <w:qFormat/>
    <w:rsid w:val="00831C59"/>
    <w:pPr>
      <w:keepNext/>
      <w:keepLines/>
      <w:suppressAutoHyphens/>
      <w:spacing w:before="60" w:after="60"/>
      <w:outlineLvl w:val="4"/>
    </w:pPr>
    <w:rPr>
      <w:rFonts w:ascii="Swis721 Lt BT Light" w:eastAsiaTheme="majorEastAsia" w:hAnsi="Swis721 Lt BT Light" w:cstheme="majorBidi"/>
      <w:i/>
      <w:iCs/>
      <w:color w:val="000000" w:themeColor="text1"/>
      <w:sz w:val="20"/>
      <w:szCs w:val="18"/>
    </w:rPr>
  </w:style>
  <w:style w:type="paragraph" w:styleId="Heading6">
    <w:name w:val="heading 6"/>
    <w:basedOn w:val="Normal"/>
    <w:next w:val="Normal"/>
    <w:link w:val="Heading6Char"/>
    <w:uiPriority w:val="9"/>
    <w:semiHidden/>
    <w:qFormat/>
    <w:locked/>
    <w:rsid w:val="00D271D3"/>
    <w:pPr>
      <w:keepNext/>
      <w:keepLines/>
      <w:spacing w:before="40"/>
      <w:outlineLvl w:val="5"/>
    </w:pPr>
    <w:rPr>
      <w:rFonts w:asciiTheme="majorHAnsi" w:eastAsiaTheme="majorEastAsia" w:hAnsiTheme="majorHAnsi" w:cstheme="majorBidi"/>
      <w:color w:val="7F5A00" w:themeColor="accent1" w:themeShade="7F"/>
    </w:rPr>
  </w:style>
  <w:style w:type="paragraph" w:styleId="Heading7">
    <w:name w:val="heading 7"/>
    <w:basedOn w:val="Normal"/>
    <w:next w:val="Normal"/>
    <w:link w:val="Heading7Char"/>
    <w:uiPriority w:val="9"/>
    <w:semiHidden/>
    <w:qFormat/>
    <w:locked/>
    <w:rsid w:val="00D271D3"/>
    <w:pPr>
      <w:keepNext/>
      <w:keepLines/>
      <w:spacing w:before="40"/>
      <w:outlineLvl w:val="6"/>
    </w:pPr>
    <w:rPr>
      <w:rFonts w:asciiTheme="majorHAnsi" w:eastAsiaTheme="majorEastAsia" w:hAnsiTheme="majorHAnsi" w:cstheme="majorBidi"/>
      <w:i/>
      <w:iCs/>
      <w:color w:val="7F5A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5">
    <w:name w:val="Grid Table 4 Accent 5"/>
    <w:aliases w:val=".TEST"/>
    <w:basedOn w:val="TableNormal"/>
    <w:uiPriority w:val="49"/>
    <w:rsid w:val="004A49E7"/>
    <w:rPr>
      <w:rFonts w:ascii="Arial" w:hAnsi="Arial"/>
      <w:b/>
      <w:color w:val="A59B98" w:themeColor="accent2" w:themeTint="99"/>
      <w:sz w:val="22"/>
      <w:szCs w:val="22"/>
    </w:rPr>
    <w:tblPr>
      <w:tblStyleRowBandSize w:val="1"/>
      <w:tblStyleColBandSize w:val="1"/>
      <w:tblInd w:w="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top w:w="0" w:type="dxa"/>
        <w:left w:w="108" w:type="dxa"/>
        <w:bottom w:w="0" w:type="dxa"/>
        <w:right w:w="108" w:type="dxa"/>
      </w:tblCellMar>
    </w:tblPr>
    <w:tcPr>
      <w:shd w:val="clear" w:color="auto" w:fill="ABAFB4" w:themeFill="accent3" w:themeFillTint="99"/>
    </w:tcPr>
    <w:tblStylePr w:type="firstRow">
      <w:rPr>
        <w:b/>
        <w:bCs/>
        <w:color w:val="FFFFFF" w:themeColor="background1"/>
      </w:rPr>
      <w:tblPr/>
      <w:tcPr>
        <w:tcBorders>
          <w:top w:val="single" w:sz="4" w:space="0" w:color="62BD67" w:themeColor="accent5"/>
          <w:left w:val="single" w:sz="4" w:space="0" w:color="62BD67" w:themeColor="accent5"/>
          <w:bottom w:val="single" w:sz="4" w:space="0" w:color="62BD67" w:themeColor="accent5"/>
          <w:right w:val="single" w:sz="4" w:space="0" w:color="62BD67" w:themeColor="accent5"/>
          <w:insideH w:val="nil"/>
          <w:insideV w:val="nil"/>
        </w:tcBorders>
        <w:shd w:val="clear" w:color="auto" w:fill="62BD67" w:themeFill="accent5"/>
      </w:tcPr>
    </w:tblStylePr>
    <w:tblStylePr w:type="lastRow">
      <w:rPr>
        <w:b/>
        <w:bCs/>
      </w:rPr>
      <w:tblPr/>
      <w:tcPr>
        <w:tcBorders>
          <w:top w:val="double" w:sz="4" w:space="0" w:color="62BD67" w:themeColor="accent5"/>
        </w:tcBorders>
      </w:tcPr>
    </w:tblStylePr>
    <w:tblStylePr w:type="firstCol">
      <w:rPr>
        <w:b/>
        <w:bCs/>
      </w:rPr>
    </w:tblStylePr>
    <w:tblStylePr w:type="lastCol">
      <w:rPr>
        <w:b/>
        <w:bCs/>
      </w:rPr>
    </w:tblStylePr>
    <w:tblStylePr w:type="band1Vert">
      <w:tblPr/>
      <w:tcPr>
        <w:shd w:val="clear" w:color="auto" w:fill="DFF1E0" w:themeFill="accent5" w:themeFillTint="33"/>
      </w:tcPr>
    </w:tblStylePr>
    <w:tblStylePr w:type="band1Horz">
      <w:tblPr/>
      <w:tcPr>
        <w:shd w:val="clear" w:color="auto" w:fill="DFF1E0" w:themeFill="accent5" w:themeFillTint="33"/>
      </w:tcPr>
    </w:tblStylePr>
  </w:style>
  <w:style w:type="table" w:customStyle="1" w:styleId="PSCTable-Standard">
    <w:name w:val="PSC Table - Standard"/>
    <w:basedOn w:val="TableNormal"/>
    <w:uiPriority w:val="99"/>
    <w:rsid w:val="00BF207E"/>
    <w:pPr>
      <w:spacing w:before="20" w:after="20"/>
    </w:pPr>
    <w:rPr>
      <w:rFonts w:ascii="Swis721 Lt BT" w:hAnsi="Swis721 Lt BT"/>
      <w:sz w:val="18"/>
    </w:rPr>
    <w:tblPr>
      <w:tblInd w:w="0" w:type="dxa"/>
      <w:tblBorders>
        <w:bottom w:val="single" w:sz="4" w:space="0" w:color="auto"/>
        <w:insideH w:val="single" w:sz="4" w:space="0" w:color="auto"/>
      </w:tblBorders>
      <w:tblCellMar>
        <w:top w:w="0" w:type="dxa"/>
        <w:left w:w="115" w:type="dxa"/>
        <w:bottom w:w="0" w:type="dxa"/>
        <w:right w:w="115" w:type="dxa"/>
      </w:tblCellMar>
    </w:tblPr>
    <w:trPr>
      <w:cantSplit/>
    </w:trPr>
    <w:tblStylePr w:type="firstRow">
      <w:pPr>
        <w:wordWrap/>
        <w:jc w:val="left"/>
      </w:pPr>
      <w:rPr>
        <w:rFonts w:ascii="Swis721 Lt BT" w:hAnsi="Swis721 Lt BT"/>
        <w:b w:val="0"/>
        <w:i w:val="0"/>
        <w:caps w:val="0"/>
        <w:smallCaps w:val="0"/>
        <w:strike w:val="0"/>
        <w:dstrike w:val="0"/>
        <w:vanish w:val="0"/>
        <w:sz w:val="18"/>
        <w:vertAlign w:val="baseline"/>
      </w:rPr>
      <w:tblPr/>
      <w:tcPr>
        <w:tcBorders>
          <w:bottom w:val="single" w:sz="4" w:space="0" w:color="auto"/>
        </w:tcBorders>
        <w:vAlign w:val="bottom"/>
      </w:tcPr>
    </w:tblStylePr>
  </w:style>
  <w:style w:type="table" w:customStyle="1" w:styleId="PlainTable4">
    <w:name w:val="Plain Table 4"/>
    <w:basedOn w:val="TableNormal"/>
    <w:uiPriority w:val="44"/>
    <w:locked/>
    <w:rsid w:val="001B478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uiPriority w:val="27"/>
    <w:qFormat/>
    <w:rsid w:val="00A03F03"/>
    <w:rPr>
      <w:rFonts w:ascii="Swis721 Cn BT" w:hAnsi="Swis721 Cn BT"/>
      <w:sz w:val="16"/>
    </w:rPr>
  </w:style>
  <w:style w:type="paragraph" w:styleId="Header">
    <w:name w:val="header"/>
    <w:link w:val="HeaderChar"/>
    <w:uiPriority w:val="27"/>
    <w:qFormat/>
    <w:rsid w:val="00831C59"/>
    <w:pPr>
      <w:tabs>
        <w:tab w:val="center" w:pos="4680"/>
        <w:tab w:val="right" w:pos="9360"/>
      </w:tabs>
      <w:suppressAutoHyphens/>
      <w:jc w:val="right"/>
    </w:pPr>
    <w:rPr>
      <w:rFonts w:ascii="Swis721 Cn BT" w:hAnsi="Swis721 Cn BT"/>
      <w:caps/>
      <w:color w:val="655B58"/>
      <w:sz w:val="16"/>
      <w:szCs w:val="14"/>
    </w:rPr>
  </w:style>
  <w:style w:type="character" w:customStyle="1" w:styleId="HeaderChar">
    <w:name w:val="Header Char"/>
    <w:basedOn w:val="DefaultParagraphFont"/>
    <w:link w:val="Header"/>
    <w:uiPriority w:val="27"/>
    <w:rsid w:val="00300E3A"/>
    <w:rPr>
      <w:rFonts w:ascii="Swis721 Cn BT" w:hAnsi="Swis721 Cn BT"/>
      <w:caps/>
      <w:color w:val="655B58"/>
      <w:sz w:val="16"/>
      <w:szCs w:val="14"/>
    </w:rPr>
  </w:style>
  <w:style w:type="paragraph" w:styleId="Footer">
    <w:name w:val="footer"/>
    <w:link w:val="FooterChar"/>
    <w:uiPriority w:val="27"/>
    <w:qFormat/>
    <w:rsid w:val="00831C59"/>
    <w:pPr>
      <w:tabs>
        <w:tab w:val="left" w:pos="360"/>
        <w:tab w:val="center" w:pos="4680"/>
        <w:tab w:val="right" w:pos="9000"/>
        <w:tab w:val="right" w:pos="9360"/>
      </w:tabs>
      <w:suppressAutoHyphens/>
    </w:pPr>
    <w:rPr>
      <w:rFonts w:ascii="Swis721 Cn BT" w:hAnsi="Swis721 Cn BT"/>
      <w:color w:val="655B58"/>
      <w:sz w:val="16"/>
      <w:szCs w:val="14"/>
    </w:rPr>
  </w:style>
  <w:style w:type="character" w:customStyle="1" w:styleId="FooterChar">
    <w:name w:val="Footer Char"/>
    <w:basedOn w:val="DefaultParagraphFont"/>
    <w:link w:val="Footer"/>
    <w:uiPriority w:val="27"/>
    <w:rsid w:val="00300E3A"/>
    <w:rPr>
      <w:rFonts w:ascii="Swis721 Cn BT" w:hAnsi="Swis721 Cn BT"/>
      <w:color w:val="655B58"/>
      <w:sz w:val="16"/>
      <w:szCs w:val="14"/>
    </w:rPr>
  </w:style>
  <w:style w:type="character" w:customStyle="1" w:styleId="TOCPageNumber">
    <w:name w:val="TOC Page Number"/>
    <w:basedOn w:val="DefaultParagraphFont"/>
    <w:uiPriority w:val="10"/>
    <w:qFormat/>
    <w:locked/>
    <w:rsid w:val="00BB73A2"/>
    <w:rPr>
      <w:rFonts w:ascii="Swis721 Lt BT Light" w:hAnsi="Swis721 Lt BT Light"/>
      <w:b w:val="0"/>
      <w:bCs w:val="0"/>
      <w:i w:val="0"/>
      <w:iCs w:val="0"/>
      <w:noProof/>
      <w:sz w:val="18"/>
    </w:rPr>
  </w:style>
  <w:style w:type="character" w:customStyle="1" w:styleId="Heading1Char">
    <w:name w:val="Heading 1 Char"/>
    <w:basedOn w:val="DefaultParagraphFont"/>
    <w:link w:val="Heading1"/>
    <w:uiPriority w:val="13"/>
    <w:rsid w:val="00300E3A"/>
    <w:rPr>
      <w:rFonts w:ascii="Swis721 Cn BT" w:eastAsiaTheme="majorEastAsia" w:hAnsi="Swis721 Cn BT" w:cstheme="majorBidi"/>
      <w:b/>
      <w:bCs/>
      <w:iCs/>
      <w:caps/>
      <w:color w:val="FFB602"/>
      <w:sz w:val="36"/>
      <w:szCs w:val="36"/>
    </w:rPr>
  </w:style>
  <w:style w:type="character" w:customStyle="1" w:styleId="Heading2Char">
    <w:name w:val="Heading 2 Char"/>
    <w:basedOn w:val="DefaultParagraphFont"/>
    <w:link w:val="Heading2"/>
    <w:uiPriority w:val="13"/>
    <w:rsid w:val="00300E3A"/>
    <w:rPr>
      <w:rFonts w:ascii="Swis721 Cn BT" w:eastAsiaTheme="majorEastAsia" w:hAnsi="Swis721 Cn BT" w:cstheme="majorBidi"/>
      <w:b/>
      <w:bCs/>
      <w:iCs/>
      <w:caps/>
      <w:color w:val="000000" w:themeColor="text1"/>
      <w:sz w:val="30"/>
      <w:szCs w:val="30"/>
    </w:rPr>
  </w:style>
  <w:style w:type="character" w:customStyle="1" w:styleId="Heading3Char">
    <w:name w:val="Heading 3 Char"/>
    <w:basedOn w:val="DefaultParagraphFont"/>
    <w:link w:val="Heading3"/>
    <w:uiPriority w:val="13"/>
    <w:rsid w:val="00300E3A"/>
    <w:rPr>
      <w:rFonts w:ascii="Georgia" w:eastAsiaTheme="majorEastAsia" w:hAnsi="Georgia" w:cstheme="majorBidi"/>
      <w:b/>
      <w:bCs/>
      <w:iCs/>
      <w:color w:val="000000" w:themeColor="text1"/>
      <w:sz w:val="22"/>
      <w:szCs w:val="22"/>
    </w:rPr>
  </w:style>
  <w:style w:type="character" w:customStyle="1" w:styleId="Heading4Char">
    <w:name w:val="Heading 4 Char"/>
    <w:basedOn w:val="DefaultParagraphFont"/>
    <w:link w:val="Heading4"/>
    <w:uiPriority w:val="13"/>
    <w:rsid w:val="00300E3A"/>
    <w:rPr>
      <w:rFonts w:ascii="Swis721 Lt BT Light" w:eastAsiaTheme="majorEastAsia" w:hAnsi="Swis721 Lt BT Light" w:cstheme="majorBidi"/>
      <w:iCs/>
      <w:color w:val="000000" w:themeColor="text1"/>
      <w:sz w:val="22"/>
      <w:szCs w:val="20"/>
    </w:rPr>
  </w:style>
  <w:style w:type="character" w:customStyle="1" w:styleId="Heading5Char">
    <w:name w:val="Heading 5 Char"/>
    <w:basedOn w:val="DefaultParagraphFont"/>
    <w:link w:val="Heading5"/>
    <w:uiPriority w:val="13"/>
    <w:rsid w:val="00300E3A"/>
    <w:rPr>
      <w:rFonts w:ascii="Swis721 Lt BT Light" w:eastAsiaTheme="majorEastAsia" w:hAnsi="Swis721 Lt BT Light" w:cstheme="majorBidi"/>
      <w:i/>
      <w:iCs/>
      <w:color w:val="000000" w:themeColor="text1"/>
      <w:sz w:val="20"/>
      <w:szCs w:val="18"/>
    </w:rPr>
  </w:style>
  <w:style w:type="paragraph" w:styleId="BodyText">
    <w:name w:val="Body Text"/>
    <w:link w:val="BodyTextChar"/>
    <w:uiPriority w:val="14"/>
    <w:qFormat/>
    <w:rsid w:val="00FA46D3"/>
    <w:pPr>
      <w:suppressAutoHyphens/>
      <w:spacing w:before="60" w:after="180" w:line="300" w:lineRule="auto"/>
    </w:pPr>
    <w:rPr>
      <w:rFonts w:ascii="Georgia" w:hAnsi="Georgia"/>
      <w:color w:val="000000" w:themeColor="text1"/>
      <w:sz w:val="20"/>
      <w:szCs w:val="18"/>
    </w:rPr>
  </w:style>
  <w:style w:type="character" w:customStyle="1" w:styleId="BodyTextChar">
    <w:name w:val="Body Text Char"/>
    <w:basedOn w:val="DefaultParagraphFont"/>
    <w:link w:val="BodyText"/>
    <w:uiPriority w:val="14"/>
    <w:rsid w:val="00300E3A"/>
    <w:rPr>
      <w:rFonts w:ascii="Georgia" w:hAnsi="Georgia"/>
      <w:color w:val="000000" w:themeColor="text1"/>
      <w:sz w:val="20"/>
      <w:szCs w:val="18"/>
    </w:rPr>
  </w:style>
  <w:style w:type="paragraph" w:styleId="ListBullet">
    <w:name w:val="List Bullet"/>
    <w:uiPriority w:val="17"/>
    <w:qFormat/>
    <w:rsid w:val="008A7AC4"/>
    <w:pPr>
      <w:numPr>
        <w:numId w:val="4"/>
      </w:numPr>
      <w:suppressAutoHyphens/>
      <w:spacing w:before="60" w:after="180" w:line="300" w:lineRule="auto"/>
      <w:contextualSpacing/>
    </w:pPr>
    <w:rPr>
      <w:rFonts w:ascii="Georgia" w:hAnsi="Georgia"/>
      <w:color w:val="000000" w:themeColor="text1"/>
      <w:sz w:val="20"/>
      <w:szCs w:val="18"/>
    </w:rPr>
  </w:style>
  <w:style w:type="paragraph" w:styleId="ListBullet2">
    <w:name w:val="List Bullet 2"/>
    <w:uiPriority w:val="17"/>
    <w:qFormat/>
    <w:rsid w:val="008A7AC4"/>
    <w:pPr>
      <w:numPr>
        <w:ilvl w:val="1"/>
        <w:numId w:val="4"/>
      </w:numPr>
      <w:suppressAutoHyphens/>
      <w:spacing w:before="60" w:after="180" w:line="300" w:lineRule="auto"/>
      <w:contextualSpacing/>
    </w:pPr>
    <w:rPr>
      <w:rFonts w:ascii="Georgia" w:hAnsi="Georgia"/>
      <w:color w:val="000000" w:themeColor="text1"/>
      <w:sz w:val="20"/>
      <w:szCs w:val="18"/>
    </w:rPr>
  </w:style>
  <w:style w:type="paragraph" w:styleId="ListBullet3">
    <w:name w:val="List Bullet 3"/>
    <w:uiPriority w:val="17"/>
    <w:qFormat/>
    <w:rsid w:val="008A7AC4"/>
    <w:pPr>
      <w:numPr>
        <w:ilvl w:val="2"/>
        <w:numId w:val="4"/>
      </w:numPr>
      <w:suppressAutoHyphens/>
      <w:spacing w:before="60" w:after="180" w:line="300" w:lineRule="auto"/>
      <w:contextualSpacing/>
    </w:pPr>
    <w:rPr>
      <w:rFonts w:ascii="Georgia" w:hAnsi="Georgia"/>
      <w:color w:val="000000" w:themeColor="text1"/>
      <w:sz w:val="20"/>
      <w:szCs w:val="18"/>
    </w:rPr>
  </w:style>
  <w:style w:type="paragraph" w:styleId="BodyText2">
    <w:name w:val="Body Text 2"/>
    <w:basedOn w:val="BodyText"/>
    <w:next w:val="BodyText"/>
    <w:link w:val="BodyText2Char"/>
    <w:uiPriority w:val="14"/>
    <w:qFormat/>
    <w:rsid w:val="00831C59"/>
    <w:rPr>
      <w:rFonts w:ascii="Swis721 Lt BT Light" w:hAnsi="Swis721 Lt BT Light"/>
    </w:rPr>
  </w:style>
  <w:style w:type="character" w:customStyle="1" w:styleId="BodyText2Char">
    <w:name w:val="Body Text 2 Char"/>
    <w:basedOn w:val="DefaultParagraphFont"/>
    <w:link w:val="BodyText2"/>
    <w:uiPriority w:val="14"/>
    <w:rsid w:val="00300E3A"/>
    <w:rPr>
      <w:rFonts w:ascii="Swis721 Lt BT Light" w:hAnsi="Swis721 Lt BT Light"/>
      <w:color w:val="000000" w:themeColor="text1"/>
      <w:sz w:val="20"/>
      <w:szCs w:val="18"/>
    </w:rPr>
  </w:style>
  <w:style w:type="paragraph" w:customStyle="1" w:styleId="TableHeader">
    <w:name w:val="Table Header"/>
    <w:uiPriority w:val="99"/>
    <w:qFormat/>
    <w:rsid w:val="00DB0D4F"/>
    <w:pPr>
      <w:suppressAutoHyphens/>
      <w:spacing w:before="20" w:after="20"/>
    </w:pPr>
    <w:rPr>
      <w:rFonts w:ascii="Swis721 BT Roman" w:hAnsi="Swis721 BT Roman"/>
      <w:b/>
      <w:iCs/>
      <w:color w:val="000000" w:themeColor="text1"/>
      <w:sz w:val="18"/>
      <w:szCs w:val="18"/>
    </w:rPr>
  </w:style>
  <w:style w:type="paragraph" w:styleId="Quote">
    <w:name w:val="Quote"/>
    <w:basedOn w:val="BodyText2"/>
    <w:link w:val="QuoteChar"/>
    <w:uiPriority w:val="24"/>
    <w:qFormat/>
    <w:rsid w:val="001319D5"/>
    <w:pPr>
      <w:keepLines/>
      <w:ind w:left="1080" w:right="1080"/>
    </w:pPr>
    <w:rPr>
      <w:color w:val="645C58"/>
    </w:rPr>
  </w:style>
  <w:style w:type="character" w:customStyle="1" w:styleId="QuoteChar">
    <w:name w:val="Quote Char"/>
    <w:basedOn w:val="DefaultParagraphFont"/>
    <w:link w:val="Quote"/>
    <w:uiPriority w:val="24"/>
    <w:rsid w:val="00300E3A"/>
    <w:rPr>
      <w:rFonts w:ascii="Swis721 Lt BT Light" w:hAnsi="Swis721 Lt BT Light"/>
      <w:color w:val="645C58"/>
      <w:sz w:val="20"/>
      <w:szCs w:val="18"/>
    </w:rPr>
  </w:style>
  <w:style w:type="paragraph" w:customStyle="1" w:styleId="ExhibitTitle">
    <w:name w:val="Exhibit Title"/>
    <w:next w:val="BodyText"/>
    <w:uiPriority w:val="20"/>
    <w:qFormat/>
    <w:rsid w:val="00831C59"/>
    <w:pPr>
      <w:keepNext/>
      <w:keepLines/>
      <w:pBdr>
        <w:bottom w:val="single" w:sz="18" w:space="3" w:color="FBB122"/>
      </w:pBdr>
      <w:suppressAutoHyphens/>
      <w:spacing w:before="60" w:after="180"/>
      <w:contextualSpacing/>
    </w:pPr>
    <w:rPr>
      <w:rFonts w:ascii="Swis721 BT Roman" w:hAnsi="Swis721 BT Roman"/>
      <w:color w:val="FFB602"/>
      <w:sz w:val="20"/>
      <w:szCs w:val="18"/>
    </w:rPr>
  </w:style>
  <w:style w:type="character" w:customStyle="1" w:styleId="ExhibitNumber">
    <w:name w:val="Exhibit Number"/>
    <w:basedOn w:val="DefaultParagraphFont"/>
    <w:uiPriority w:val="21"/>
    <w:qFormat/>
    <w:rsid w:val="003871DD"/>
    <w:rPr>
      <w:rFonts w:ascii="Swis721 Cn BT" w:hAnsi="Swis721 Cn BT"/>
      <w:caps/>
      <w:smallCaps w:val="0"/>
      <w:strike w:val="0"/>
      <w:dstrike w:val="0"/>
      <w:vanish w:val="0"/>
      <w:color w:val="FFB602"/>
      <w:vertAlign w:val="baseline"/>
    </w:rPr>
  </w:style>
  <w:style w:type="paragraph" w:styleId="FootnoteText">
    <w:name w:val="footnote text"/>
    <w:link w:val="FootnoteTextChar"/>
    <w:uiPriority w:val="27"/>
    <w:qFormat/>
    <w:rsid w:val="00831C59"/>
    <w:pPr>
      <w:keepLines/>
      <w:suppressAutoHyphens/>
      <w:spacing w:after="60"/>
    </w:pPr>
    <w:rPr>
      <w:rFonts w:ascii="Swis721 Lt BT Light" w:hAnsi="Swis721 Lt BT Light"/>
      <w:color w:val="000000" w:themeColor="text1"/>
      <w:sz w:val="16"/>
      <w:szCs w:val="14"/>
    </w:rPr>
  </w:style>
  <w:style w:type="character" w:customStyle="1" w:styleId="FootnoteTextChar">
    <w:name w:val="Footnote Text Char"/>
    <w:basedOn w:val="DefaultParagraphFont"/>
    <w:link w:val="FootnoteText"/>
    <w:uiPriority w:val="27"/>
    <w:rsid w:val="00300E3A"/>
    <w:rPr>
      <w:rFonts w:ascii="Swis721 Lt BT Light" w:hAnsi="Swis721 Lt BT Light"/>
      <w:color w:val="000000" w:themeColor="text1"/>
      <w:sz w:val="16"/>
      <w:szCs w:val="14"/>
    </w:rPr>
  </w:style>
  <w:style w:type="character" w:customStyle="1" w:styleId="CoverSecondaryColor-White">
    <w:name w:val="Cover Secondary Color - White"/>
    <w:basedOn w:val="DefaultParagraphFont"/>
    <w:uiPriority w:val="2"/>
    <w:qFormat/>
    <w:rsid w:val="00D303D6"/>
    <w:rPr>
      <w:color w:val="FFFFFF" w:themeColor="background1"/>
    </w:rPr>
  </w:style>
  <w:style w:type="character" w:customStyle="1" w:styleId="CoverSecondaryColor-DarkGray">
    <w:name w:val="Cover Secondary Color - Dark Gray"/>
    <w:basedOn w:val="DefaultParagraphFont"/>
    <w:uiPriority w:val="1"/>
    <w:qFormat/>
    <w:rsid w:val="00D303D6"/>
    <w:rPr>
      <w:color w:val="655B58"/>
    </w:rPr>
  </w:style>
  <w:style w:type="paragraph" w:styleId="ListParagraph">
    <w:name w:val="List Paragraph"/>
    <w:basedOn w:val="BodyText"/>
    <w:next w:val="BodyText"/>
    <w:uiPriority w:val="17"/>
    <w:qFormat/>
    <w:rsid w:val="001319D5"/>
    <w:pPr>
      <w:ind w:left="360"/>
    </w:pPr>
  </w:style>
  <w:style w:type="paragraph" w:customStyle="1" w:styleId="PulledQuote">
    <w:name w:val="Pulled Quote"/>
    <w:next w:val="BodyText"/>
    <w:link w:val="PulledQuoteChar"/>
    <w:uiPriority w:val="24"/>
    <w:qFormat/>
    <w:rsid w:val="001319D5"/>
    <w:pPr>
      <w:keepLines/>
      <w:suppressAutoHyphens/>
      <w:spacing w:before="300" w:after="240" w:line="300" w:lineRule="auto"/>
      <w:ind w:left="1080" w:right="1080"/>
    </w:pPr>
    <w:rPr>
      <w:rFonts w:ascii="Swis721 Cn BT" w:hAnsi="Swis721 Cn BT"/>
      <w:color w:val="FBB122"/>
      <w:sz w:val="32"/>
      <w:szCs w:val="32"/>
    </w:rPr>
  </w:style>
  <w:style w:type="paragraph" w:customStyle="1" w:styleId="PhotoCaption">
    <w:name w:val="Photo Caption"/>
    <w:basedOn w:val="BodyText2"/>
    <w:uiPriority w:val="24"/>
    <w:qFormat/>
    <w:rsid w:val="001319D5"/>
    <w:pPr>
      <w:keepLines/>
      <w:spacing w:before="180" w:after="240" w:line="240" w:lineRule="auto"/>
      <w:ind w:left="1800" w:right="1800"/>
    </w:pPr>
    <w:rPr>
      <w:sz w:val="16"/>
      <w:szCs w:val="16"/>
    </w:rPr>
  </w:style>
  <w:style w:type="table" w:styleId="TableGrid">
    <w:name w:val="Table Grid"/>
    <w:basedOn w:val="TableNormal"/>
    <w:uiPriority w:val="39"/>
    <w:locked/>
    <w:rsid w:val="004A4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Source">
    <w:name w:val="Exhibit Source"/>
    <w:next w:val="BodyText"/>
    <w:uiPriority w:val="22"/>
    <w:qFormat/>
    <w:rsid w:val="00831C59"/>
    <w:pPr>
      <w:keepLines/>
      <w:pBdr>
        <w:bottom w:val="single" w:sz="8" w:space="5" w:color="FBB122"/>
      </w:pBdr>
      <w:suppressAutoHyphens/>
      <w:spacing w:before="180" w:after="240"/>
      <w:contextualSpacing/>
    </w:pPr>
    <w:rPr>
      <w:rFonts w:ascii="Swis721 Lt BT Light" w:hAnsi="Swis721 Lt BT Light"/>
      <w:color w:val="000000" w:themeColor="text1"/>
      <w:sz w:val="16"/>
      <w:szCs w:val="14"/>
    </w:rPr>
  </w:style>
  <w:style w:type="paragraph" w:customStyle="1" w:styleId="TableData">
    <w:name w:val="Table Data"/>
    <w:uiPriority w:val="99"/>
    <w:qFormat/>
    <w:rsid w:val="00DB0D4F"/>
    <w:pPr>
      <w:suppressAutoHyphens/>
      <w:spacing w:before="20" w:after="20"/>
    </w:pPr>
    <w:rPr>
      <w:rFonts w:ascii="Swis721 Lt BT Light" w:hAnsi="Swis721 Lt BT Light"/>
      <w:sz w:val="18"/>
      <w:szCs w:val="18"/>
    </w:rPr>
  </w:style>
  <w:style w:type="paragraph" w:styleId="ListNumber">
    <w:name w:val="List Number"/>
    <w:uiPriority w:val="17"/>
    <w:qFormat/>
    <w:rsid w:val="00C3380D"/>
    <w:pPr>
      <w:numPr>
        <w:numId w:val="5"/>
      </w:numPr>
      <w:suppressAutoHyphens/>
      <w:spacing w:before="60" w:after="180" w:line="300" w:lineRule="auto"/>
      <w:contextualSpacing/>
    </w:pPr>
    <w:rPr>
      <w:rFonts w:ascii="Georgia" w:hAnsi="Georgia"/>
      <w:sz w:val="20"/>
    </w:rPr>
  </w:style>
  <w:style w:type="paragraph" w:customStyle="1" w:styleId="TableDataBullet">
    <w:name w:val="Table Data Bullet"/>
    <w:uiPriority w:val="99"/>
    <w:qFormat/>
    <w:rsid w:val="00035C40"/>
    <w:pPr>
      <w:numPr>
        <w:numId w:val="2"/>
      </w:numPr>
      <w:suppressAutoHyphens/>
      <w:spacing w:before="20" w:after="20"/>
    </w:pPr>
    <w:rPr>
      <w:rFonts w:ascii="Swis721 Lt BT Light" w:hAnsi="Swis721 Lt BT Light"/>
      <w:color w:val="000000" w:themeColor="text1"/>
      <w:sz w:val="18"/>
      <w:szCs w:val="18"/>
    </w:rPr>
  </w:style>
  <w:style w:type="paragraph" w:styleId="ListNumber2">
    <w:name w:val="List Number 2"/>
    <w:uiPriority w:val="17"/>
    <w:qFormat/>
    <w:rsid w:val="002B6FAC"/>
    <w:pPr>
      <w:numPr>
        <w:ilvl w:val="1"/>
        <w:numId w:val="5"/>
      </w:numPr>
      <w:suppressAutoHyphens/>
      <w:spacing w:before="60" w:after="180" w:line="300" w:lineRule="auto"/>
      <w:contextualSpacing/>
    </w:pPr>
    <w:rPr>
      <w:rFonts w:ascii="Georgia" w:hAnsi="Georgia"/>
      <w:sz w:val="20"/>
    </w:rPr>
  </w:style>
  <w:style w:type="paragraph" w:customStyle="1" w:styleId="TableTotal">
    <w:name w:val="Table Total"/>
    <w:uiPriority w:val="99"/>
    <w:qFormat/>
    <w:rsid w:val="00035C40"/>
    <w:pPr>
      <w:suppressAutoHyphens/>
      <w:spacing w:before="20" w:after="20"/>
    </w:pPr>
    <w:rPr>
      <w:rFonts w:ascii="Swis721 BT Roman" w:hAnsi="Swis721 BT Roman"/>
      <w:b/>
      <w:sz w:val="18"/>
      <w:szCs w:val="18"/>
    </w:rPr>
  </w:style>
  <w:style w:type="paragraph" w:styleId="ListNumber3">
    <w:name w:val="List Number 3"/>
    <w:uiPriority w:val="17"/>
    <w:qFormat/>
    <w:rsid w:val="002B6FAC"/>
    <w:pPr>
      <w:numPr>
        <w:ilvl w:val="2"/>
        <w:numId w:val="5"/>
      </w:numPr>
      <w:suppressAutoHyphens/>
      <w:spacing w:before="60" w:after="180" w:line="300" w:lineRule="auto"/>
      <w:contextualSpacing/>
    </w:pPr>
    <w:rPr>
      <w:rFonts w:ascii="Georgia" w:hAnsi="Georgia"/>
      <w:sz w:val="20"/>
    </w:rPr>
  </w:style>
  <w:style w:type="paragraph" w:styleId="EndnoteText">
    <w:name w:val="endnote text"/>
    <w:basedOn w:val="FootnoteText"/>
    <w:link w:val="EndnoteTextChar"/>
    <w:uiPriority w:val="27"/>
    <w:qFormat/>
    <w:rsid w:val="00831C59"/>
  </w:style>
  <w:style w:type="paragraph" w:styleId="Title">
    <w:name w:val="Title"/>
    <w:next w:val="Heading1"/>
    <w:link w:val="TitleChar"/>
    <w:uiPriority w:val="4"/>
    <w:qFormat/>
    <w:rsid w:val="001319D5"/>
    <w:pPr>
      <w:keepNext/>
      <w:keepLines/>
      <w:suppressAutoHyphens/>
      <w:spacing w:after="240"/>
      <w:outlineLvl w:val="0"/>
    </w:pPr>
    <w:rPr>
      <w:rFonts w:ascii="Swis721 Cn BT" w:hAnsi="Swis721 Cn BT"/>
      <w:color w:val="FFB602"/>
      <w:sz w:val="52"/>
      <w:szCs w:val="52"/>
    </w:rPr>
  </w:style>
  <w:style w:type="character" w:customStyle="1" w:styleId="TitleChar">
    <w:name w:val="Title Char"/>
    <w:basedOn w:val="DefaultParagraphFont"/>
    <w:link w:val="Title"/>
    <w:uiPriority w:val="4"/>
    <w:rsid w:val="00300E3A"/>
    <w:rPr>
      <w:rFonts w:ascii="Swis721 Cn BT" w:hAnsi="Swis721 Cn BT"/>
      <w:color w:val="FFB602"/>
      <w:sz w:val="52"/>
      <w:szCs w:val="52"/>
    </w:rPr>
  </w:style>
  <w:style w:type="character" w:customStyle="1" w:styleId="EndnoteTextChar">
    <w:name w:val="Endnote Text Char"/>
    <w:basedOn w:val="DefaultParagraphFont"/>
    <w:link w:val="EndnoteText"/>
    <w:uiPriority w:val="27"/>
    <w:rsid w:val="00300E3A"/>
    <w:rPr>
      <w:rFonts w:ascii="Swis721 Lt BT Light" w:hAnsi="Swis721 Lt BT Light"/>
      <w:color w:val="000000" w:themeColor="text1"/>
      <w:sz w:val="16"/>
      <w:szCs w:val="14"/>
    </w:rPr>
  </w:style>
  <w:style w:type="paragraph" w:styleId="Subtitle">
    <w:name w:val="Subtitle"/>
    <w:next w:val="BodyText"/>
    <w:link w:val="SubtitleChar"/>
    <w:uiPriority w:val="5"/>
    <w:qFormat/>
    <w:rsid w:val="001319D5"/>
    <w:pPr>
      <w:keepNext/>
      <w:keepLines/>
      <w:suppressAutoHyphens/>
      <w:spacing w:before="180" w:after="180"/>
    </w:pPr>
    <w:rPr>
      <w:rFonts w:ascii="Swis721 Cn BT" w:hAnsi="Swis721 Cn BT"/>
      <w:color w:val="655B58"/>
      <w:sz w:val="36"/>
      <w:szCs w:val="36"/>
    </w:rPr>
  </w:style>
  <w:style w:type="character" w:customStyle="1" w:styleId="SubtitleChar">
    <w:name w:val="Subtitle Char"/>
    <w:basedOn w:val="DefaultParagraphFont"/>
    <w:link w:val="Subtitle"/>
    <w:uiPriority w:val="5"/>
    <w:rsid w:val="00300E3A"/>
    <w:rPr>
      <w:rFonts w:ascii="Swis721 Cn BT" w:hAnsi="Swis721 Cn BT"/>
      <w:color w:val="655B58"/>
      <w:sz w:val="36"/>
      <w:szCs w:val="36"/>
    </w:rPr>
  </w:style>
  <w:style w:type="paragraph" w:styleId="Date">
    <w:name w:val="Date"/>
    <w:next w:val="BodyText"/>
    <w:link w:val="DateChar"/>
    <w:uiPriority w:val="6"/>
    <w:qFormat/>
    <w:rsid w:val="00831C59"/>
    <w:pPr>
      <w:keepLines/>
      <w:suppressAutoHyphens/>
      <w:spacing w:after="480"/>
    </w:pPr>
    <w:rPr>
      <w:rFonts w:ascii="Swis721 Cn BT" w:hAnsi="Swis721 Cn BT"/>
      <w:noProof/>
      <w:color w:val="655B58"/>
      <w:sz w:val="28"/>
      <w:szCs w:val="28"/>
    </w:rPr>
  </w:style>
  <w:style w:type="character" w:customStyle="1" w:styleId="DateChar">
    <w:name w:val="Date Char"/>
    <w:basedOn w:val="DefaultParagraphFont"/>
    <w:link w:val="Date"/>
    <w:uiPriority w:val="6"/>
    <w:rsid w:val="00300E3A"/>
    <w:rPr>
      <w:rFonts w:ascii="Swis721 Cn BT" w:hAnsi="Swis721 Cn BT"/>
      <w:noProof/>
      <w:color w:val="655B58"/>
      <w:sz w:val="28"/>
      <w:szCs w:val="28"/>
    </w:rPr>
  </w:style>
  <w:style w:type="paragraph" w:customStyle="1" w:styleId="PreparedforSubmittedby">
    <w:name w:val="Prepared for/Submitted by"/>
    <w:next w:val="CreditText"/>
    <w:uiPriority w:val="7"/>
    <w:qFormat/>
    <w:rsid w:val="001319D5"/>
    <w:pPr>
      <w:keepNext/>
      <w:keepLines/>
      <w:suppressAutoHyphens/>
      <w:spacing w:after="120"/>
    </w:pPr>
    <w:rPr>
      <w:rFonts w:ascii="Swis721 Lt BT Light" w:hAnsi="Swis721 Lt BT Light"/>
      <w:i/>
      <w:iCs/>
      <w:sz w:val="20"/>
      <w:szCs w:val="20"/>
    </w:rPr>
  </w:style>
  <w:style w:type="paragraph" w:customStyle="1" w:styleId="CreditText">
    <w:name w:val="Credit Text"/>
    <w:uiPriority w:val="8"/>
    <w:qFormat/>
    <w:rsid w:val="00831C59"/>
    <w:pPr>
      <w:keepLines/>
      <w:suppressAutoHyphens/>
      <w:spacing w:after="240"/>
      <w:contextualSpacing/>
    </w:pPr>
    <w:rPr>
      <w:rFonts w:ascii="Swis721 Lt BT Light" w:hAnsi="Swis721 Lt BT Light"/>
      <w:sz w:val="20"/>
      <w:szCs w:val="20"/>
    </w:rPr>
  </w:style>
  <w:style w:type="character" w:styleId="Hyperlink">
    <w:name w:val="Hyperlink"/>
    <w:basedOn w:val="DefaultParagraphFont"/>
    <w:uiPriority w:val="99"/>
    <w:qFormat/>
    <w:rsid w:val="00965678"/>
    <w:rPr>
      <w:color w:val="2CBBEE"/>
      <w:u w:val="single"/>
    </w:rPr>
  </w:style>
  <w:style w:type="paragraph" w:customStyle="1" w:styleId="Reference">
    <w:name w:val="Reference"/>
    <w:link w:val="ReferenceChar"/>
    <w:uiPriority w:val="24"/>
    <w:qFormat/>
    <w:rsid w:val="001319D5"/>
    <w:pPr>
      <w:keepLines/>
      <w:suppressAutoHyphens/>
      <w:spacing w:after="180" w:line="300" w:lineRule="auto"/>
      <w:ind w:left="720" w:hanging="720"/>
    </w:pPr>
    <w:rPr>
      <w:rFonts w:ascii="Georgia" w:eastAsia="Times New Roman" w:hAnsi="Georgia" w:cs="Times New Roman"/>
      <w:color w:val="000000" w:themeColor="text1"/>
      <w:sz w:val="20"/>
      <w:szCs w:val="18"/>
    </w:rPr>
  </w:style>
  <w:style w:type="paragraph" w:styleId="TOC2">
    <w:name w:val="toc 2"/>
    <w:next w:val="Normal"/>
    <w:uiPriority w:val="39"/>
    <w:qFormat/>
    <w:rsid w:val="001319D5"/>
    <w:pPr>
      <w:keepLines/>
      <w:suppressAutoHyphens/>
      <w:spacing w:after="100"/>
      <w:jc w:val="both"/>
    </w:pPr>
    <w:rPr>
      <w:rFonts w:ascii="Swis721 BT" w:hAnsi="Swis721 BT"/>
      <w:sz w:val="18"/>
    </w:rPr>
  </w:style>
  <w:style w:type="paragraph" w:styleId="TOC1">
    <w:name w:val="toc 1"/>
    <w:next w:val="Normal"/>
    <w:uiPriority w:val="39"/>
    <w:qFormat/>
    <w:rsid w:val="001319D5"/>
    <w:pPr>
      <w:keepLines/>
      <w:tabs>
        <w:tab w:val="right" w:leader="dot" w:pos="9350"/>
      </w:tabs>
      <w:suppressAutoHyphens/>
      <w:spacing w:after="100"/>
      <w:jc w:val="both"/>
    </w:pPr>
    <w:rPr>
      <w:rFonts w:ascii="Swis721 Cn BT" w:hAnsi="Swis721 Cn BT"/>
      <w:caps/>
      <w:sz w:val="20"/>
      <w:szCs w:val="22"/>
    </w:rPr>
  </w:style>
  <w:style w:type="paragraph" w:styleId="TOC3">
    <w:name w:val="toc 3"/>
    <w:next w:val="Normal"/>
    <w:uiPriority w:val="39"/>
    <w:qFormat/>
    <w:rsid w:val="001319D5"/>
    <w:pPr>
      <w:keepLines/>
      <w:tabs>
        <w:tab w:val="right" w:leader="dot" w:pos="9350"/>
      </w:tabs>
      <w:suppressAutoHyphens/>
      <w:spacing w:after="100"/>
      <w:ind w:left="245"/>
      <w:jc w:val="both"/>
    </w:pPr>
    <w:rPr>
      <w:rFonts w:ascii="Swis721 Lt BT" w:hAnsi="Swis721 Lt BT"/>
      <w:sz w:val="18"/>
    </w:rPr>
  </w:style>
  <w:style w:type="character" w:styleId="PlaceholderText">
    <w:name w:val="Placeholder Text"/>
    <w:basedOn w:val="DefaultParagraphFont"/>
    <w:uiPriority w:val="99"/>
    <w:semiHidden/>
    <w:locked/>
    <w:rsid w:val="00252E59"/>
    <w:rPr>
      <w:color w:val="808080"/>
    </w:rPr>
  </w:style>
  <w:style w:type="character" w:customStyle="1" w:styleId="Heading6Char">
    <w:name w:val="Heading 6 Char"/>
    <w:basedOn w:val="DefaultParagraphFont"/>
    <w:link w:val="Heading6"/>
    <w:uiPriority w:val="9"/>
    <w:semiHidden/>
    <w:rsid w:val="001848C4"/>
    <w:rPr>
      <w:rFonts w:asciiTheme="majorHAnsi" w:eastAsiaTheme="majorEastAsia" w:hAnsiTheme="majorHAnsi" w:cstheme="majorBidi"/>
      <w:color w:val="7F5A00" w:themeColor="accent1" w:themeShade="7F"/>
    </w:rPr>
  </w:style>
  <w:style w:type="character" w:customStyle="1" w:styleId="Heading7Char">
    <w:name w:val="Heading 7 Char"/>
    <w:basedOn w:val="DefaultParagraphFont"/>
    <w:link w:val="Heading7"/>
    <w:uiPriority w:val="9"/>
    <w:semiHidden/>
    <w:rsid w:val="001848C4"/>
    <w:rPr>
      <w:rFonts w:asciiTheme="majorHAnsi" w:eastAsiaTheme="majorEastAsia" w:hAnsiTheme="majorHAnsi" w:cstheme="majorBidi"/>
      <w:i/>
      <w:iCs/>
      <w:color w:val="7F5A00" w:themeColor="accent1" w:themeShade="7F"/>
    </w:rPr>
  </w:style>
  <w:style w:type="character" w:customStyle="1" w:styleId="PulledQuoteChar">
    <w:name w:val="Pulled Quote Char"/>
    <w:basedOn w:val="BodyText2Char"/>
    <w:link w:val="PulledQuote"/>
    <w:uiPriority w:val="24"/>
    <w:rsid w:val="00300E3A"/>
    <w:rPr>
      <w:rFonts w:ascii="Swis721 Cn BT" w:hAnsi="Swis721 Cn BT"/>
      <w:color w:val="FBB122"/>
      <w:sz w:val="32"/>
      <w:szCs w:val="32"/>
    </w:rPr>
  </w:style>
  <w:style w:type="character" w:customStyle="1" w:styleId="ReferenceChar">
    <w:name w:val="Reference Char"/>
    <w:basedOn w:val="DefaultParagraphFont"/>
    <w:link w:val="Reference"/>
    <w:uiPriority w:val="24"/>
    <w:rsid w:val="00300E3A"/>
    <w:rPr>
      <w:rFonts w:ascii="Georgia" w:eastAsia="Times New Roman" w:hAnsi="Georgia" w:cs="Times New Roman"/>
      <w:color w:val="000000" w:themeColor="text1"/>
      <w:sz w:val="20"/>
      <w:szCs w:val="18"/>
    </w:rPr>
  </w:style>
  <w:style w:type="numbering" w:customStyle="1" w:styleId="PSCNumberList">
    <w:name w:val="PSC Number List"/>
    <w:uiPriority w:val="99"/>
    <w:locked/>
    <w:rsid w:val="00C3380D"/>
    <w:pPr>
      <w:numPr>
        <w:numId w:val="1"/>
      </w:numPr>
    </w:pPr>
  </w:style>
  <w:style w:type="table" w:customStyle="1" w:styleId="GridTable3Accent2">
    <w:name w:val="Grid Table 3 Accent 2"/>
    <w:basedOn w:val="TableNormal"/>
    <w:uiPriority w:val="48"/>
    <w:rsid w:val="00180C6E"/>
    <w:tblPr>
      <w:tblStyleRowBandSize w:val="1"/>
      <w:tblStyleColBandSize w:val="1"/>
      <w:tblInd w:w="0" w:type="dxa"/>
      <w:tblBorders>
        <w:top w:val="single" w:sz="4" w:space="0" w:color="A59B98" w:themeColor="accent2" w:themeTint="99"/>
        <w:left w:val="single" w:sz="4" w:space="0" w:color="A59B98" w:themeColor="accent2" w:themeTint="99"/>
        <w:bottom w:val="single" w:sz="4" w:space="0" w:color="A59B98" w:themeColor="accent2" w:themeTint="99"/>
        <w:right w:val="single" w:sz="4" w:space="0" w:color="A59B98" w:themeColor="accent2" w:themeTint="99"/>
        <w:insideH w:val="single" w:sz="4" w:space="0" w:color="A59B98" w:themeColor="accent2" w:themeTint="99"/>
        <w:insideV w:val="single" w:sz="4" w:space="0" w:color="A59B98"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DDC" w:themeFill="accent2" w:themeFillTint="33"/>
      </w:tcPr>
    </w:tblStylePr>
    <w:tblStylePr w:type="band1Horz">
      <w:tblPr/>
      <w:tcPr>
        <w:shd w:val="clear" w:color="auto" w:fill="E1DDDC" w:themeFill="accent2" w:themeFillTint="33"/>
      </w:tcPr>
    </w:tblStylePr>
    <w:tblStylePr w:type="neCell">
      <w:tblPr/>
      <w:tcPr>
        <w:tcBorders>
          <w:bottom w:val="single" w:sz="4" w:space="0" w:color="A59B98" w:themeColor="accent2" w:themeTint="99"/>
        </w:tcBorders>
      </w:tcPr>
    </w:tblStylePr>
    <w:tblStylePr w:type="nwCell">
      <w:tblPr/>
      <w:tcPr>
        <w:tcBorders>
          <w:bottom w:val="single" w:sz="4" w:space="0" w:color="A59B98" w:themeColor="accent2" w:themeTint="99"/>
        </w:tcBorders>
      </w:tcPr>
    </w:tblStylePr>
    <w:tblStylePr w:type="seCell">
      <w:tblPr/>
      <w:tcPr>
        <w:tcBorders>
          <w:top w:val="single" w:sz="4" w:space="0" w:color="A59B98" w:themeColor="accent2" w:themeTint="99"/>
        </w:tcBorders>
      </w:tcPr>
    </w:tblStylePr>
    <w:tblStylePr w:type="swCell">
      <w:tblPr/>
      <w:tcPr>
        <w:tcBorders>
          <w:top w:val="single" w:sz="4" w:space="0" w:color="A59B98" w:themeColor="accent2" w:themeTint="99"/>
        </w:tcBorders>
      </w:tcPr>
    </w:tblStylePr>
  </w:style>
  <w:style w:type="character" w:styleId="BookTitle">
    <w:name w:val="Book Title"/>
    <w:basedOn w:val="DefaultParagraphFont"/>
    <w:uiPriority w:val="33"/>
    <w:semiHidden/>
    <w:qFormat/>
    <w:locked/>
    <w:rsid w:val="008C3271"/>
    <w:rPr>
      <w:rFonts w:ascii="Georgia" w:hAnsi="Georgia"/>
      <w:b w:val="0"/>
      <w:bCs/>
      <w:i/>
      <w:iCs/>
      <w:spacing w:val="5"/>
      <w:sz w:val="18"/>
    </w:rPr>
  </w:style>
  <w:style w:type="table" w:styleId="TableGrid1">
    <w:name w:val="Table Grid 1"/>
    <w:basedOn w:val="TableNormal"/>
    <w:uiPriority w:val="99"/>
    <w:semiHidden/>
    <w:unhideWhenUsed/>
    <w:locked/>
    <w:rsid w:val="0053225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dTable4Accent1">
    <w:name w:val="Grid Table 4 Accent 1"/>
    <w:basedOn w:val="TableNormal"/>
    <w:uiPriority w:val="49"/>
    <w:rsid w:val="00A86920"/>
    <w:rPr>
      <w:rFonts w:ascii="A Cut Above The Rest" w:hAnsi="A Cut Above The Rest"/>
    </w:rPr>
    <w:tblPr>
      <w:tblStyleRowBandSize w:val="1"/>
      <w:tblStyleColBandSize w:val="1"/>
      <w:tblInd w:w="0" w:type="dxa"/>
      <w:tblBorders>
        <w:top w:val="single" w:sz="4" w:space="0" w:color="FFD267" w:themeColor="accent1" w:themeTint="99"/>
        <w:left w:val="single" w:sz="4" w:space="0" w:color="FFD267" w:themeColor="accent1" w:themeTint="99"/>
        <w:bottom w:val="single" w:sz="4" w:space="0" w:color="FFD267" w:themeColor="accent1" w:themeTint="99"/>
        <w:right w:val="single" w:sz="4" w:space="0" w:color="FFD267" w:themeColor="accent1" w:themeTint="99"/>
        <w:insideH w:val="single" w:sz="4" w:space="0" w:color="FFD267" w:themeColor="accent1" w:themeTint="99"/>
        <w:insideV w:val="single" w:sz="4" w:space="0" w:color="FFD26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B602" w:themeColor="accent1"/>
          <w:left w:val="single" w:sz="4" w:space="0" w:color="FFB602" w:themeColor="accent1"/>
          <w:bottom w:val="single" w:sz="4" w:space="0" w:color="FFB602" w:themeColor="accent1"/>
          <w:right w:val="single" w:sz="4" w:space="0" w:color="FFB602" w:themeColor="accent1"/>
          <w:insideH w:val="nil"/>
          <w:insideV w:val="nil"/>
        </w:tcBorders>
        <w:shd w:val="clear" w:color="auto" w:fill="FFB602" w:themeFill="accent1"/>
      </w:tcPr>
    </w:tblStylePr>
    <w:tblStylePr w:type="lastRow">
      <w:rPr>
        <w:b/>
        <w:bCs/>
      </w:rPr>
      <w:tblPr/>
      <w:tcPr>
        <w:tcBorders>
          <w:top w:val="double" w:sz="4" w:space="0" w:color="FFB602" w:themeColor="accent1"/>
        </w:tcBorders>
      </w:tcPr>
    </w:tblStylePr>
    <w:tblStylePr w:type="firstCol">
      <w:rPr>
        <w:b/>
        <w:bCs/>
      </w:rPr>
    </w:tblStylePr>
    <w:tblStylePr w:type="lastCol">
      <w:rPr>
        <w:b/>
        <w:bCs/>
      </w:rPr>
    </w:tblStylePr>
    <w:tblStylePr w:type="band1Vert">
      <w:tblPr/>
      <w:tcPr>
        <w:shd w:val="clear" w:color="auto" w:fill="FFF0CC" w:themeFill="accent1" w:themeFillTint="33"/>
      </w:tcPr>
    </w:tblStylePr>
    <w:tblStylePr w:type="band1Horz">
      <w:tblPr/>
      <w:tcPr>
        <w:shd w:val="clear" w:color="auto" w:fill="FFF0CC" w:themeFill="accent1" w:themeFillTint="33"/>
      </w:tcPr>
    </w:tblStylePr>
  </w:style>
  <w:style w:type="table" w:customStyle="1" w:styleId="TableColumnHeader">
    <w:name w:val="Table Column Header"/>
    <w:basedOn w:val="TableNormal"/>
    <w:uiPriority w:val="99"/>
    <w:rsid w:val="003B6739"/>
    <w:tblPr>
      <w:tblInd w:w="0" w:type="dxa"/>
      <w:tblCellMar>
        <w:top w:w="0" w:type="dxa"/>
        <w:left w:w="108" w:type="dxa"/>
        <w:bottom w:w="0" w:type="dxa"/>
        <w:right w:w="108" w:type="dxa"/>
      </w:tblCellMar>
    </w:tblPr>
    <w:tblStylePr w:type="firstRow">
      <w:rPr>
        <w:rFonts w:ascii="Swis721 BT" w:hAnsi="Swis721 BT"/>
        <w:b/>
      </w:rPr>
      <w:tblPr>
        <w:tblCellMar>
          <w:top w:w="43" w:type="dxa"/>
          <w:left w:w="115" w:type="dxa"/>
          <w:bottom w:w="43" w:type="dxa"/>
          <w:right w:w="115" w:type="dxa"/>
        </w:tblCellMar>
      </w:tblPr>
      <w:tcPr>
        <w:vAlign w:val="center"/>
      </w:tcPr>
    </w:tblStylePr>
  </w:style>
  <w:style w:type="character" w:styleId="EndnoteReference">
    <w:name w:val="endnote reference"/>
    <w:basedOn w:val="DefaultParagraphFont"/>
    <w:uiPriority w:val="99"/>
    <w:semiHidden/>
    <w:rsid w:val="00831C59"/>
    <w:rPr>
      <w:vertAlign w:val="superscript"/>
    </w:rPr>
  </w:style>
  <w:style w:type="character" w:styleId="FootnoteReference">
    <w:name w:val="footnote reference"/>
    <w:basedOn w:val="DefaultParagraphFont"/>
    <w:uiPriority w:val="99"/>
    <w:semiHidden/>
    <w:rsid w:val="00831C59"/>
    <w:rPr>
      <w:vertAlign w:val="superscript"/>
    </w:rPr>
  </w:style>
  <w:style w:type="paragraph" w:styleId="TOCHeading">
    <w:name w:val="TOC Heading"/>
    <w:basedOn w:val="Heading1"/>
    <w:next w:val="BodyText"/>
    <w:uiPriority w:val="39"/>
    <w:qFormat/>
    <w:rsid w:val="001319D5"/>
  </w:style>
  <w:style w:type="character" w:customStyle="1" w:styleId="PulledQuoteSecondaryColor">
    <w:name w:val="Pulled Quote Secondary Color"/>
    <w:basedOn w:val="DefaultParagraphFont"/>
    <w:uiPriority w:val="24"/>
    <w:qFormat/>
    <w:rsid w:val="008632C4"/>
    <w:rPr>
      <w:rFonts w:ascii="Swis721 Cn BT" w:hAnsi="Swis721 Cn BT"/>
      <w:color w:val="FFFFFF" w:themeColor="background1"/>
      <w:sz w:val="32"/>
    </w:rPr>
  </w:style>
  <w:style w:type="paragraph" w:customStyle="1" w:styleId="CoverTitle">
    <w:name w:val="Cover Title"/>
    <w:next w:val="Subtitle"/>
    <w:qFormat/>
    <w:rsid w:val="00831C59"/>
    <w:pPr>
      <w:keepNext/>
      <w:keepLines/>
      <w:suppressAutoHyphens/>
    </w:pPr>
    <w:rPr>
      <w:rFonts w:ascii="Swis721 Cn BT" w:hAnsi="Swis721 Cn BT"/>
      <w:color w:val="FFB602"/>
      <w:sz w:val="80"/>
      <w:szCs w:val="80"/>
    </w:rPr>
  </w:style>
  <w:style w:type="paragraph" w:customStyle="1" w:styleId="CoverDate">
    <w:name w:val="Cover Date"/>
    <w:next w:val="BodyText"/>
    <w:uiPriority w:val="3"/>
    <w:qFormat/>
    <w:rsid w:val="00831C59"/>
    <w:pPr>
      <w:keepLines/>
      <w:suppressAutoHyphens/>
      <w:spacing w:before="600"/>
    </w:pPr>
    <w:rPr>
      <w:rFonts w:ascii="Swis721 Cn BT" w:hAnsi="Swis721 Cn BT"/>
      <w:noProof/>
      <w:color w:val="655B58"/>
      <w:sz w:val="28"/>
      <w:szCs w:val="28"/>
    </w:rPr>
  </w:style>
  <w:style w:type="character" w:styleId="CommentReference">
    <w:name w:val="annotation reference"/>
    <w:basedOn w:val="DefaultParagraphFont"/>
    <w:uiPriority w:val="99"/>
    <w:semiHidden/>
    <w:locked/>
    <w:rsid w:val="00320511"/>
    <w:rPr>
      <w:sz w:val="18"/>
      <w:szCs w:val="18"/>
    </w:rPr>
  </w:style>
  <w:style w:type="paragraph" w:styleId="CommentText">
    <w:name w:val="annotation text"/>
    <w:basedOn w:val="Normal"/>
    <w:link w:val="CommentTextChar"/>
    <w:uiPriority w:val="99"/>
    <w:semiHidden/>
    <w:locked/>
    <w:rsid w:val="00320511"/>
  </w:style>
  <w:style w:type="paragraph" w:styleId="TOC4">
    <w:name w:val="toc 4"/>
    <w:basedOn w:val="Normal"/>
    <w:next w:val="Normal"/>
    <w:autoRedefine/>
    <w:uiPriority w:val="39"/>
    <w:semiHidden/>
    <w:rsid w:val="002C1EEC"/>
    <w:pPr>
      <w:ind w:left="720"/>
    </w:pPr>
  </w:style>
  <w:style w:type="paragraph" w:styleId="TOC5">
    <w:name w:val="toc 5"/>
    <w:basedOn w:val="Normal"/>
    <w:next w:val="Normal"/>
    <w:autoRedefine/>
    <w:uiPriority w:val="39"/>
    <w:semiHidden/>
    <w:rsid w:val="002C1EEC"/>
    <w:pPr>
      <w:ind w:left="960"/>
    </w:pPr>
  </w:style>
  <w:style w:type="paragraph" w:styleId="TOC6">
    <w:name w:val="toc 6"/>
    <w:basedOn w:val="Normal"/>
    <w:next w:val="Normal"/>
    <w:autoRedefine/>
    <w:uiPriority w:val="39"/>
    <w:semiHidden/>
    <w:rsid w:val="002C1EEC"/>
    <w:pPr>
      <w:ind w:left="1200"/>
    </w:pPr>
  </w:style>
  <w:style w:type="paragraph" w:styleId="TOC7">
    <w:name w:val="toc 7"/>
    <w:basedOn w:val="Normal"/>
    <w:next w:val="Normal"/>
    <w:autoRedefine/>
    <w:uiPriority w:val="39"/>
    <w:semiHidden/>
    <w:rsid w:val="002C1EEC"/>
    <w:pPr>
      <w:ind w:left="1440"/>
    </w:pPr>
  </w:style>
  <w:style w:type="paragraph" w:styleId="TOC8">
    <w:name w:val="toc 8"/>
    <w:basedOn w:val="Normal"/>
    <w:next w:val="Normal"/>
    <w:autoRedefine/>
    <w:uiPriority w:val="39"/>
    <w:semiHidden/>
    <w:rsid w:val="002C1EEC"/>
    <w:pPr>
      <w:ind w:left="1680"/>
    </w:pPr>
  </w:style>
  <w:style w:type="paragraph" w:styleId="TOC9">
    <w:name w:val="toc 9"/>
    <w:basedOn w:val="Normal"/>
    <w:next w:val="Normal"/>
    <w:autoRedefine/>
    <w:uiPriority w:val="39"/>
    <w:semiHidden/>
    <w:rsid w:val="002C1EEC"/>
    <w:pPr>
      <w:ind w:left="1920"/>
    </w:pPr>
  </w:style>
  <w:style w:type="table" w:customStyle="1" w:styleId="PSCTable-AlternatingFill">
    <w:name w:val="PSC Table - Alternating Fill"/>
    <w:basedOn w:val="TableNormal"/>
    <w:uiPriority w:val="99"/>
    <w:rsid w:val="00BF207E"/>
    <w:pPr>
      <w:spacing w:before="20" w:after="20"/>
    </w:pPr>
    <w:rPr>
      <w:rFonts w:ascii="Swis721 Lt BT" w:hAnsi="Swis721 Lt BT"/>
      <w:sz w:val="18"/>
    </w:rPr>
    <w:tblPr>
      <w:tblStyleRowBandSize w:val="1"/>
      <w:tblInd w:w="0" w:type="dxa"/>
      <w:tblBorders>
        <w:bottom w:val="single" w:sz="4" w:space="0" w:color="auto"/>
        <w:insideH w:val="single" w:sz="4" w:space="0" w:color="auto"/>
      </w:tblBorders>
      <w:tblCellMar>
        <w:top w:w="0" w:type="dxa"/>
        <w:left w:w="115" w:type="dxa"/>
        <w:bottom w:w="0" w:type="dxa"/>
        <w:right w:w="115" w:type="dxa"/>
      </w:tblCellMar>
    </w:tblPr>
    <w:trPr>
      <w:cantSplit/>
    </w:trPr>
    <w:tcPr>
      <w:shd w:val="clear" w:color="auto" w:fill="auto"/>
    </w:tcPr>
    <w:tblStylePr w:type="firstRow">
      <w:pPr>
        <w:wordWrap/>
        <w:spacing w:beforeLines="0" w:beforeAutospacing="0" w:afterLines="0" w:afterAutospacing="0" w:line="240" w:lineRule="auto"/>
        <w:contextualSpacing w:val="0"/>
        <w:jc w:val="left"/>
        <w:outlineLvl w:val="9"/>
      </w:pPr>
      <w:rPr>
        <w:rFonts w:ascii="Swis721 Lt BT" w:hAnsi="Swis721 Lt BT"/>
        <w:b w:val="0"/>
        <w:caps w:val="0"/>
        <w:smallCaps w:val="0"/>
        <w:strike w:val="0"/>
        <w:dstrike w:val="0"/>
        <w:vanish w:val="0"/>
        <w:color w:val="auto"/>
        <w:sz w:val="18"/>
        <w:u w:val="none"/>
        <w:vertAlign w:val="baseline"/>
      </w:rPr>
      <w:tblPr/>
      <w:tcPr>
        <w:tcBorders>
          <w:bottom w:val="single" w:sz="4" w:space="0" w:color="auto"/>
        </w:tcBorders>
        <w:vAlign w:val="bottom"/>
      </w:tcPr>
    </w:tblStylePr>
    <w:tblStylePr w:type="band1Horz">
      <w:tblPr/>
      <w:tcPr>
        <w:shd w:val="clear" w:color="auto" w:fill="D0EDF8" w:themeFill="accent4" w:themeFillTint="66"/>
      </w:tcPr>
    </w:tblStylePr>
  </w:style>
  <w:style w:type="numbering" w:customStyle="1" w:styleId="PSCBulletList">
    <w:name w:val="PSC Bullet List"/>
    <w:uiPriority w:val="99"/>
    <w:rsid w:val="007378DD"/>
    <w:pPr>
      <w:numPr>
        <w:numId w:val="3"/>
      </w:numPr>
    </w:pPr>
  </w:style>
  <w:style w:type="character" w:customStyle="1" w:styleId="CommentTextChar">
    <w:name w:val="Comment Text Char"/>
    <w:basedOn w:val="DefaultParagraphFont"/>
    <w:link w:val="CommentText"/>
    <w:uiPriority w:val="99"/>
    <w:semiHidden/>
    <w:rsid w:val="00320511"/>
  </w:style>
  <w:style w:type="paragraph" w:styleId="CommentSubject">
    <w:name w:val="annotation subject"/>
    <w:basedOn w:val="CommentText"/>
    <w:next w:val="CommentText"/>
    <w:link w:val="CommentSubjectChar"/>
    <w:uiPriority w:val="99"/>
    <w:semiHidden/>
    <w:locked/>
    <w:rsid w:val="00320511"/>
    <w:rPr>
      <w:b/>
      <w:bCs/>
      <w:sz w:val="20"/>
      <w:szCs w:val="20"/>
    </w:rPr>
  </w:style>
  <w:style w:type="character" w:customStyle="1" w:styleId="CommentSubjectChar">
    <w:name w:val="Comment Subject Char"/>
    <w:basedOn w:val="CommentTextChar"/>
    <w:link w:val="CommentSubject"/>
    <w:uiPriority w:val="99"/>
    <w:semiHidden/>
    <w:rsid w:val="00320511"/>
    <w:rPr>
      <w:b/>
      <w:bCs/>
      <w:sz w:val="20"/>
      <w:szCs w:val="20"/>
    </w:rPr>
  </w:style>
  <w:style w:type="paragraph" w:styleId="BalloonText">
    <w:name w:val="Balloon Text"/>
    <w:basedOn w:val="Normal"/>
    <w:link w:val="BalloonTextChar"/>
    <w:uiPriority w:val="99"/>
    <w:semiHidden/>
    <w:locked/>
    <w:rsid w:val="003205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0511"/>
    <w:rPr>
      <w:rFonts w:ascii="Times New Roman" w:hAnsi="Times New Roman" w:cs="Times New Roman"/>
      <w:sz w:val="18"/>
      <w:szCs w:val="18"/>
    </w:rPr>
  </w:style>
  <w:style w:type="paragraph" w:customStyle="1" w:styleId="SignatureLine">
    <w:name w:val="Signature Line"/>
    <w:next w:val="BodyText"/>
    <w:uiPriority w:val="27"/>
    <w:qFormat/>
    <w:rsid w:val="00C81972"/>
    <w:pPr>
      <w:pBdr>
        <w:top w:val="single" w:sz="4" w:space="1" w:color="auto"/>
      </w:pBdr>
      <w:suppressAutoHyphens/>
      <w:spacing w:before="60" w:after="180" w:line="300" w:lineRule="auto"/>
    </w:pPr>
    <w:rPr>
      <w:rFonts w:ascii="Swis721 Lt BT Light" w:hAnsi="Swis721 Lt BT Light"/>
      <w:color w:val="000000" w:themeColor="text1"/>
      <w:sz w:val="20"/>
      <w:szCs w:val="18"/>
    </w:rPr>
  </w:style>
  <w:style w:type="paragraph" w:styleId="Caption">
    <w:name w:val="caption"/>
    <w:basedOn w:val="Normal"/>
    <w:next w:val="Normal"/>
    <w:uiPriority w:val="35"/>
    <w:semiHidden/>
    <w:qFormat/>
    <w:locked/>
    <w:rsid w:val="00935657"/>
    <w:pPr>
      <w:spacing w:after="200"/>
    </w:pPr>
    <w:rPr>
      <w:i/>
      <w:iCs/>
      <w:color w:val="44546A" w:themeColor="text2"/>
      <w:sz w:val="18"/>
      <w:szCs w:val="18"/>
    </w:rPr>
  </w:style>
  <w:style w:type="character" w:customStyle="1" w:styleId="element-invisible">
    <w:name w:val="element-invisible"/>
    <w:basedOn w:val="DefaultParagraphFont"/>
    <w:rsid w:val="00A04BFF"/>
  </w:style>
  <w:style w:type="character" w:customStyle="1" w:styleId="UnresolvedMention">
    <w:name w:val="Unresolved Mention"/>
    <w:basedOn w:val="DefaultParagraphFont"/>
    <w:uiPriority w:val="99"/>
    <w:semiHidden/>
    <w:locked/>
    <w:rsid w:val="004A1CB2"/>
    <w:rPr>
      <w:color w:val="808080"/>
      <w:shd w:val="clear" w:color="auto" w:fill="E6E6E6"/>
    </w:rPr>
  </w:style>
  <w:style w:type="paragraph" w:styleId="Revision">
    <w:name w:val="Revision"/>
    <w:hidden/>
    <w:uiPriority w:val="99"/>
    <w:semiHidden/>
    <w:rsid w:val="00447C12"/>
  </w:style>
  <w:style w:type="character" w:styleId="FollowedHyperlink">
    <w:name w:val="FollowedHyperlink"/>
    <w:basedOn w:val="DefaultParagraphFont"/>
    <w:uiPriority w:val="99"/>
    <w:semiHidden/>
    <w:locked/>
    <w:rsid w:val="00EB1636"/>
    <w:rPr>
      <w:color w:val="2CBBEE" w:themeColor="followedHyperlink"/>
      <w:u w:val="single"/>
    </w:rPr>
  </w:style>
  <w:style w:type="paragraph" w:styleId="NormalWeb">
    <w:name w:val="Normal (Web)"/>
    <w:basedOn w:val="Normal"/>
    <w:uiPriority w:val="99"/>
    <w:semiHidden/>
    <w:unhideWhenUsed/>
    <w:rsid w:val="00AE57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2630862">
      <w:bodyDiv w:val="1"/>
      <w:marLeft w:val="0"/>
      <w:marRight w:val="0"/>
      <w:marTop w:val="0"/>
      <w:marBottom w:val="0"/>
      <w:divBdr>
        <w:top w:val="none" w:sz="0" w:space="0" w:color="auto"/>
        <w:left w:val="none" w:sz="0" w:space="0" w:color="auto"/>
        <w:bottom w:val="none" w:sz="0" w:space="0" w:color="auto"/>
        <w:right w:val="none" w:sz="0" w:space="0" w:color="auto"/>
      </w:divBdr>
    </w:div>
    <w:div w:id="139081148">
      <w:bodyDiv w:val="1"/>
      <w:marLeft w:val="0"/>
      <w:marRight w:val="0"/>
      <w:marTop w:val="0"/>
      <w:marBottom w:val="0"/>
      <w:divBdr>
        <w:top w:val="none" w:sz="0" w:space="0" w:color="auto"/>
        <w:left w:val="none" w:sz="0" w:space="0" w:color="auto"/>
        <w:bottom w:val="none" w:sz="0" w:space="0" w:color="auto"/>
        <w:right w:val="none" w:sz="0" w:space="0" w:color="auto"/>
      </w:divBdr>
    </w:div>
    <w:div w:id="187724808">
      <w:bodyDiv w:val="1"/>
      <w:marLeft w:val="0"/>
      <w:marRight w:val="0"/>
      <w:marTop w:val="0"/>
      <w:marBottom w:val="0"/>
      <w:divBdr>
        <w:top w:val="none" w:sz="0" w:space="0" w:color="auto"/>
        <w:left w:val="none" w:sz="0" w:space="0" w:color="auto"/>
        <w:bottom w:val="none" w:sz="0" w:space="0" w:color="auto"/>
        <w:right w:val="none" w:sz="0" w:space="0" w:color="auto"/>
      </w:divBdr>
      <w:divsChild>
        <w:div w:id="337804892">
          <w:marLeft w:val="1166"/>
          <w:marRight w:val="0"/>
          <w:marTop w:val="0"/>
          <w:marBottom w:val="120"/>
          <w:divBdr>
            <w:top w:val="none" w:sz="0" w:space="0" w:color="auto"/>
            <w:left w:val="none" w:sz="0" w:space="0" w:color="auto"/>
            <w:bottom w:val="none" w:sz="0" w:space="0" w:color="auto"/>
            <w:right w:val="none" w:sz="0" w:space="0" w:color="auto"/>
          </w:divBdr>
        </w:div>
        <w:div w:id="377822154">
          <w:marLeft w:val="1166"/>
          <w:marRight w:val="0"/>
          <w:marTop w:val="0"/>
          <w:marBottom w:val="120"/>
          <w:divBdr>
            <w:top w:val="none" w:sz="0" w:space="0" w:color="auto"/>
            <w:left w:val="none" w:sz="0" w:space="0" w:color="auto"/>
            <w:bottom w:val="none" w:sz="0" w:space="0" w:color="auto"/>
            <w:right w:val="none" w:sz="0" w:space="0" w:color="auto"/>
          </w:divBdr>
        </w:div>
        <w:div w:id="938097568">
          <w:marLeft w:val="1166"/>
          <w:marRight w:val="0"/>
          <w:marTop w:val="0"/>
          <w:marBottom w:val="120"/>
          <w:divBdr>
            <w:top w:val="none" w:sz="0" w:space="0" w:color="auto"/>
            <w:left w:val="none" w:sz="0" w:space="0" w:color="auto"/>
            <w:bottom w:val="none" w:sz="0" w:space="0" w:color="auto"/>
            <w:right w:val="none" w:sz="0" w:space="0" w:color="auto"/>
          </w:divBdr>
        </w:div>
        <w:div w:id="1085417559">
          <w:marLeft w:val="1166"/>
          <w:marRight w:val="0"/>
          <w:marTop w:val="0"/>
          <w:marBottom w:val="120"/>
          <w:divBdr>
            <w:top w:val="none" w:sz="0" w:space="0" w:color="auto"/>
            <w:left w:val="none" w:sz="0" w:space="0" w:color="auto"/>
            <w:bottom w:val="none" w:sz="0" w:space="0" w:color="auto"/>
            <w:right w:val="none" w:sz="0" w:space="0" w:color="auto"/>
          </w:divBdr>
        </w:div>
        <w:div w:id="1465849116">
          <w:marLeft w:val="1166"/>
          <w:marRight w:val="0"/>
          <w:marTop w:val="0"/>
          <w:marBottom w:val="120"/>
          <w:divBdr>
            <w:top w:val="none" w:sz="0" w:space="0" w:color="auto"/>
            <w:left w:val="none" w:sz="0" w:space="0" w:color="auto"/>
            <w:bottom w:val="none" w:sz="0" w:space="0" w:color="auto"/>
            <w:right w:val="none" w:sz="0" w:space="0" w:color="auto"/>
          </w:divBdr>
        </w:div>
      </w:divsChild>
    </w:div>
    <w:div w:id="202795963">
      <w:bodyDiv w:val="1"/>
      <w:marLeft w:val="0"/>
      <w:marRight w:val="0"/>
      <w:marTop w:val="0"/>
      <w:marBottom w:val="0"/>
      <w:divBdr>
        <w:top w:val="none" w:sz="0" w:space="0" w:color="auto"/>
        <w:left w:val="none" w:sz="0" w:space="0" w:color="auto"/>
        <w:bottom w:val="none" w:sz="0" w:space="0" w:color="auto"/>
        <w:right w:val="none" w:sz="0" w:space="0" w:color="auto"/>
      </w:divBdr>
    </w:div>
    <w:div w:id="655695245">
      <w:bodyDiv w:val="1"/>
      <w:marLeft w:val="0"/>
      <w:marRight w:val="0"/>
      <w:marTop w:val="0"/>
      <w:marBottom w:val="0"/>
      <w:divBdr>
        <w:top w:val="none" w:sz="0" w:space="0" w:color="auto"/>
        <w:left w:val="none" w:sz="0" w:space="0" w:color="auto"/>
        <w:bottom w:val="none" w:sz="0" w:space="0" w:color="auto"/>
        <w:right w:val="none" w:sz="0" w:space="0" w:color="auto"/>
      </w:divBdr>
    </w:div>
    <w:div w:id="917177213">
      <w:bodyDiv w:val="1"/>
      <w:marLeft w:val="0"/>
      <w:marRight w:val="0"/>
      <w:marTop w:val="0"/>
      <w:marBottom w:val="0"/>
      <w:divBdr>
        <w:top w:val="none" w:sz="0" w:space="0" w:color="auto"/>
        <w:left w:val="none" w:sz="0" w:space="0" w:color="auto"/>
        <w:bottom w:val="none" w:sz="0" w:space="0" w:color="auto"/>
        <w:right w:val="none" w:sz="0" w:space="0" w:color="auto"/>
      </w:divBdr>
      <w:divsChild>
        <w:div w:id="605308534">
          <w:marLeft w:val="1166"/>
          <w:marRight w:val="0"/>
          <w:marTop w:val="0"/>
          <w:marBottom w:val="120"/>
          <w:divBdr>
            <w:top w:val="none" w:sz="0" w:space="0" w:color="auto"/>
            <w:left w:val="none" w:sz="0" w:space="0" w:color="auto"/>
            <w:bottom w:val="none" w:sz="0" w:space="0" w:color="auto"/>
            <w:right w:val="none" w:sz="0" w:space="0" w:color="auto"/>
          </w:divBdr>
        </w:div>
        <w:div w:id="647902059">
          <w:marLeft w:val="1166"/>
          <w:marRight w:val="0"/>
          <w:marTop w:val="0"/>
          <w:marBottom w:val="120"/>
          <w:divBdr>
            <w:top w:val="none" w:sz="0" w:space="0" w:color="auto"/>
            <w:left w:val="none" w:sz="0" w:space="0" w:color="auto"/>
            <w:bottom w:val="none" w:sz="0" w:space="0" w:color="auto"/>
            <w:right w:val="none" w:sz="0" w:space="0" w:color="auto"/>
          </w:divBdr>
        </w:div>
        <w:div w:id="1001271836">
          <w:marLeft w:val="1166"/>
          <w:marRight w:val="0"/>
          <w:marTop w:val="0"/>
          <w:marBottom w:val="120"/>
          <w:divBdr>
            <w:top w:val="none" w:sz="0" w:space="0" w:color="auto"/>
            <w:left w:val="none" w:sz="0" w:space="0" w:color="auto"/>
            <w:bottom w:val="none" w:sz="0" w:space="0" w:color="auto"/>
            <w:right w:val="none" w:sz="0" w:space="0" w:color="auto"/>
          </w:divBdr>
        </w:div>
        <w:div w:id="1334255924">
          <w:marLeft w:val="1166"/>
          <w:marRight w:val="0"/>
          <w:marTop w:val="0"/>
          <w:marBottom w:val="120"/>
          <w:divBdr>
            <w:top w:val="none" w:sz="0" w:space="0" w:color="auto"/>
            <w:left w:val="none" w:sz="0" w:space="0" w:color="auto"/>
            <w:bottom w:val="none" w:sz="0" w:space="0" w:color="auto"/>
            <w:right w:val="none" w:sz="0" w:space="0" w:color="auto"/>
          </w:divBdr>
        </w:div>
        <w:div w:id="1949116694">
          <w:marLeft w:val="1166"/>
          <w:marRight w:val="0"/>
          <w:marTop w:val="0"/>
          <w:marBottom w:val="120"/>
          <w:divBdr>
            <w:top w:val="none" w:sz="0" w:space="0" w:color="auto"/>
            <w:left w:val="none" w:sz="0" w:space="0" w:color="auto"/>
            <w:bottom w:val="none" w:sz="0" w:space="0" w:color="auto"/>
            <w:right w:val="none" w:sz="0" w:space="0" w:color="auto"/>
          </w:divBdr>
        </w:div>
      </w:divsChild>
    </w:div>
    <w:div w:id="1092897895">
      <w:bodyDiv w:val="1"/>
      <w:marLeft w:val="0"/>
      <w:marRight w:val="0"/>
      <w:marTop w:val="0"/>
      <w:marBottom w:val="0"/>
      <w:divBdr>
        <w:top w:val="none" w:sz="0" w:space="0" w:color="auto"/>
        <w:left w:val="none" w:sz="0" w:space="0" w:color="auto"/>
        <w:bottom w:val="none" w:sz="0" w:space="0" w:color="auto"/>
        <w:right w:val="none" w:sz="0" w:space="0" w:color="auto"/>
      </w:divBdr>
    </w:div>
    <w:div w:id="1103303222">
      <w:bodyDiv w:val="1"/>
      <w:marLeft w:val="0"/>
      <w:marRight w:val="0"/>
      <w:marTop w:val="0"/>
      <w:marBottom w:val="0"/>
      <w:divBdr>
        <w:top w:val="none" w:sz="0" w:space="0" w:color="auto"/>
        <w:left w:val="none" w:sz="0" w:space="0" w:color="auto"/>
        <w:bottom w:val="none" w:sz="0" w:space="0" w:color="auto"/>
        <w:right w:val="none" w:sz="0" w:space="0" w:color="auto"/>
      </w:divBdr>
    </w:div>
    <w:div w:id="1109274026">
      <w:bodyDiv w:val="1"/>
      <w:marLeft w:val="0"/>
      <w:marRight w:val="0"/>
      <w:marTop w:val="0"/>
      <w:marBottom w:val="0"/>
      <w:divBdr>
        <w:top w:val="none" w:sz="0" w:space="0" w:color="auto"/>
        <w:left w:val="none" w:sz="0" w:space="0" w:color="auto"/>
        <w:bottom w:val="none" w:sz="0" w:space="0" w:color="auto"/>
        <w:right w:val="none" w:sz="0" w:space="0" w:color="auto"/>
      </w:divBdr>
    </w:div>
    <w:div w:id="1111779588">
      <w:bodyDiv w:val="1"/>
      <w:marLeft w:val="0"/>
      <w:marRight w:val="0"/>
      <w:marTop w:val="0"/>
      <w:marBottom w:val="0"/>
      <w:divBdr>
        <w:top w:val="none" w:sz="0" w:space="0" w:color="auto"/>
        <w:left w:val="none" w:sz="0" w:space="0" w:color="auto"/>
        <w:bottom w:val="none" w:sz="0" w:space="0" w:color="auto"/>
        <w:right w:val="none" w:sz="0" w:space="0" w:color="auto"/>
      </w:divBdr>
    </w:div>
    <w:div w:id="1126778763">
      <w:bodyDiv w:val="1"/>
      <w:marLeft w:val="0"/>
      <w:marRight w:val="0"/>
      <w:marTop w:val="0"/>
      <w:marBottom w:val="0"/>
      <w:divBdr>
        <w:top w:val="none" w:sz="0" w:space="0" w:color="auto"/>
        <w:left w:val="none" w:sz="0" w:space="0" w:color="auto"/>
        <w:bottom w:val="none" w:sz="0" w:space="0" w:color="auto"/>
        <w:right w:val="none" w:sz="0" w:space="0" w:color="auto"/>
      </w:divBdr>
    </w:div>
    <w:div w:id="1131942122">
      <w:bodyDiv w:val="1"/>
      <w:marLeft w:val="0"/>
      <w:marRight w:val="0"/>
      <w:marTop w:val="0"/>
      <w:marBottom w:val="0"/>
      <w:divBdr>
        <w:top w:val="none" w:sz="0" w:space="0" w:color="auto"/>
        <w:left w:val="none" w:sz="0" w:space="0" w:color="auto"/>
        <w:bottom w:val="none" w:sz="0" w:space="0" w:color="auto"/>
        <w:right w:val="none" w:sz="0" w:space="0" w:color="auto"/>
      </w:divBdr>
    </w:div>
    <w:div w:id="1172985458">
      <w:bodyDiv w:val="1"/>
      <w:marLeft w:val="0"/>
      <w:marRight w:val="0"/>
      <w:marTop w:val="0"/>
      <w:marBottom w:val="0"/>
      <w:divBdr>
        <w:top w:val="none" w:sz="0" w:space="0" w:color="auto"/>
        <w:left w:val="none" w:sz="0" w:space="0" w:color="auto"/>
        <w:bottom w:val="none" w:sz="0" w:space="0" w:color="auto"/>
        <w:right w:val="none" w:sz="0" w:space="0" w:color="auto"/>
      </w:divBdr>
    </w:div>
    <w:div w:id="1181044648">
      <w:bodyDiv w:val="1"/>
      <w:marLeft w:val="0"/>
      <w:marRight w:val="0"/>
      <w:marTop w:val="0"/>
      <w:marBottom w:val="0"/>
      <w:divBdr>
        <w:top w:val="none" w:sz="0" w:space="0" w:color="auto"/>
        <w:left w:val="none" w:sz="0" w:space="0" w:color="auto"/>
        <w:bottom w:val="none" w:sz="0" w:space="0" w:color="auto"/>
        <w:right w:val="none" w:sz="0" w:space="0" w:color="auto"/>
      </w:divBdr>
    </w:div>
    <w:div w:id="1422139639">
      <w:bodyDiv w:val="1"/>
      <w:marLeft w:val="0"/>
      <w:marRight w:val="0"/>
      <w:marTop w:val="0"/>
      <w:marBottom w:val="0"/>
      <w:divBdr>
        <w:top w:val="none" w:sz="0" w:space="0" w:color="auto"/>
        <w:left w:val="none" w:sz="0" w:space="0" w:color="auto"/>
        <w:bottom w:val="none" w:sz="0" w:space="0" w:color="auto"/>
        <w:right w:val="none" w:sz="0" w:space="0" w:color="auto"/>
      </w:divBdr>
    </w:div>
    <w:div w:id="1426342734">
      <w:bodyDiv w:val="1"/>
      <w:marLeft w:val="0"/>
      <w:marRight w:val="0"/>
      <w:marTop w:val="0"/>
      <w:marBottom w:val="0"/>
      <w:divBdr>
        <w:top w:val="none" w:sz="0" w:space="0" w:color="auto"/>
        <w:left w:val="none" w:sz="0" w:space="0" w:color="auto"/>
        <w:bottom w:val="none" w:sz="0" w:space="0" w:color="auto"/>
        <w:right w:val="none" w:sz="0" w:space="0" w:color="auto"/>
      </w:divBdr>
    </w:div>
    <w:div w:id="1499543177">
      <w:bodyDiv w:val="1"/>
      <w:marLeft w:val="0"/>
      <w:marRight w:val="0"/>
      <w:marTop w:val="0"/>
      <w:marBottom w:val="0"/>
      <w:divBdr>
        <w:top w:val="none" w:sz="0" w:space="0" w:color="auto"/>
        <w:left w:val="none" w:sz="0" w:space="0" w:color="auto"/>
        <w:bottom w:val="none" w:sz="0" w:space="0" w:color="auto"/>
        <w:right w:val="none" w:sz="0" w:space="0" w:color="auto"/>
      </w:divBdr>
    </w:div>
    <w:div w:id="1760180505">
      <w:bodyDiv w:val="1"/>
      <w:marLeft w:val="0"/>
      <w:marRight w:val="0"/>
      <w:marTop w:val="0"/>
      <w:marBottom w:val="0"/>
      <w:divBdr>
        <w:top w:val="none" w:sz="0" w:space="0" w:color="auto"/>
        <w:left w:val="none" w:sz="0" w:space="0" w:color="auto"/>
        <w:bottom w:val="none" w:sz="0" w:space="0" w:color="auto"/>
        <w:right w:val="none" w:sz="0" w:space="0" w:color="auto"/>
      </w:divBdr>
    </w:div>
    <w:div w:id="1895313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michigan.gov/mpsc/0,4639,7-159-52495_53472_53476-292333--,00.html" TargetMode="External"/><Relationship Id="rId26" Type="http://schemas.openxmlformats.org/officeDocument/2006/relationships/chart" Target="charts/chart6.xml"/><Relationship Id="rId39"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image" Target="media/image10.png"/><Relationship Id="rId42" Type="http://schemas.openxmlformats.org/officeDocument/2006/relationships/header" Target="header5.xml"/><Relationship Id="rId47" Type="http://schemas.openxmlformats.org/officeDocument/2006/relationships/footer" Target="footer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2.xml"/><Relationship Id="rId25" Type="http://schemas.openxmlformats.org/officeDocument/2006/relationships/image" Target="media/image5.png"/><Relationship Id="rId33" Type="http://schemas.openxmlformats.org/officeDocument/2006/relationships/image" Target="media/image9.png"/><Relationship Id="rId38" Type="http://schemas.openxmlformats.org/officeDocument/2006/relationships/image" Target="media/image12.png"/><Relationship Id="rId46"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michigan.gov/mpsc/0,4639,7-159-52495_53472_53476-292333--,00.html" TargetMode="External"/><Relationship Id="rId29" Type="http://schemas.openxmlformats.org/officeDocument/2006/relationships/image" Target="media/image6.png"/><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png"/><Relationship Id="rId32" Type="http://schemas.microsoft.com/office/2007/relationships/hdphoto" Target="media/hdphoto1.wdp"/><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5.xml"/><Relationship Id="rId28" Type="http://schemas.openxmlformats.org/officeDocument/2006/relationships/chart" Target="charts/chart8.xml"/><Relationship Id="rId36" Type="http://schemas.openxmlformats.org/officeDocument/2006/relationships/hyperlink" Target="http://www.michigan-energy.org"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3.xml"/><Relationship Id="rId31" Type="http://schemas.openxmlformats.org/officeDocument/2006/relationships/image" Target="media/image8.png"/><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yperlink" Target="https://www.michigan.gov/mpsc/0,4639,7-159-52495_53472_53476-292333--,00.html" TargetMode="External"/><Relationship Id="rId27" Type="http://schemas.openxmlformats.org/officeDocument/2006/relationships/chart" Target="charts/chart7.xml"/><Relationship Id="rId30" Type="http://schemas.openxmlformats.org/officeDocument/2006/relationships/image" Target="media/image7.jpeg"/><Relationship Id="rId35" Type="http://schemas.openxmlformats.org/officeDocument/2006/relationships/hyperlink" Target="http://www.efficiencyunited.com" TargetMode="External"/><Relationship Id="rId43" Type="http://schemas.openxmlformats.org/officeDocument/2006/relationships/footer" Target="footer3.xml"/><Relationship Id="rId48" Type="http://schemas.openxmlformats.org/officeDocument/2006/relationships/header" Target="header9.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aceee.org/sites/default/files/publications/researchreports/E086.pdf" TargetMode="External"/><Relationship Id="rId2" Type="http://schemas.openxmlformats.org/officeDocument/2006/relationships/hyperlink" Target="https://www.michigan.gov/mpsc/0,4639,7-159-80741---,00.html" TargetMode="External"/><Relationship Id="rId1" Type="http://schemas.openxmlformats.org/officeDocument/2006/relationships/hyperlink" Target="http://www.michigan.gov/documents/mpsc/2016_Efficiency_UNITED_Annual_Report_Final_560510_7.pdf" TargetMode="External"/><Relationship Id="rId4" Type="http://schemas.openxmlformats.org/officeDocument/2006/relationships/hyperlink" Target="https://www.eia.gov/electricity/sales_revenue_price/pdf/table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teiner\Downloads\PSC%20Report.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jsteiner\Desktop\U\UP%20Summa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steiner\Desktop\U\UP%20Summar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steiner\Desktop\U\UP%20Figures%20(version%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jsteiner\Downloads\Upper+Peninsula+Energy+Waste+Reduction_October+8_Final%20SH%20Datase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jsteiner\Downloads\Upper+Peninsula+Energy+Waste+Reduction_October+8_Final%20SH%20Datase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jsteiner\Downloads\Upper+Peninsula+Energy+Waste+Reduction_October+8_Final%20SH%20Datas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spPr>
            <a:solidFill>
              <a:schemeClr val="accent1"/>
            </a:solidFill>
            <a:ln>
              <a:noFill/>
            </a:ln>
            <a:effectLst/>
          </c:spPr>
          <c:dPt>
            <c:idx val="1"/>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1-8D5A-471E-BCF1-170F39D70543}"/>
              </c:ext>
            </c:extLst>
          </c:dPt>
          <c:dPt>
            <c:idx val="7"/>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3-8D5A-471E-BCF1-170F39D70543}"/>
              </c:ext>
            </c:extLst>
          </c:dPt>
          <c:dPt>
            <c:idx val="8"/>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5-8D5A-471E-BCF1-170F39D70543}"/>
              </c:ext>
            </c:extLst>
          </c:dPt>
          <c:dPt>
            <c:idx val="1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7-8D5A-471E-BCF1-170F39D70543}"/>
              </c:ext>
            </c:extLst>
          </c:dPt>
          <c:dPt>
            <c:idx val="12"/>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1B-8D5A-471E-BCF1-170F39D70543}"/>
              </c:ext>
            </c:extLst>
          </c:dPt>
          <c:dPt>
            <c:idx val="15"/>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9-8D5A-471E-BCF1-170F39D70543}"/>
              </c:ext>
            </c:extLst>
          </c:dPt>
          <c:dPt>
            <c:idx val="16"/>
            <c:spPr>
              <a:solidFill>
                <a:schemeClr val="accent4"/>
              </a:solidFill>
              <a:ln>
                <a:noFill/>
              </a:ln>
              <a:effectLst/>
            </c:spPr>
            <c:extLst xmlns:c16r2="http://schemas.microsoft.com/office/drawing/2015/06/chart">
              <c:ext xmlns:c16="http://schemas.microsoft.com/office/drawing/2014/chart" uri="{C3380CC4-5D6E-409C-BE32-E72D297353CC}">
                <c16:uniqueId val="{0000000B-8D5A-471E-BCF1-170F39D70543}"/>
              </c:ext>
            </c:extLst>
          </c:dPt>
          <c:dPt>
            <c:idx val="17"/>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D-8D5A-471E-BCF1-170F39D70543}"/>
              </c:ext>
            </c:extLst>
          </c:dPt>
          <c:dPt>
            <c:idx val="18"/>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F-8D5A-471E-BCF1-170F39D70543}"/>
              </c:ext>
            </c:extLst>
          </c:dPt>
          <c:dPt>
            <c:idx val="19"/>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11-8D5A-471E-BCF1-170F39D70543}"/>
              </c:ext>
            </c:extLst>
          </c:dPt>
          <c:dLbls>
            <c:dLbl>
              <c:idx val="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Swis721 BT" panose="020B0504020202020204" pitchFamily="34" charset="0"/>
                      <a:ea typeface="+mn-ea"/>
                      <a:cs typeface="+mn-cs"/>
                    </a:defRPr>
                  </a:pPr>
                  <a:endParaRPr lang="en-US"/>
                </a:p>
              </c:txPr>
            </c:dLbl>
            <c:dLbl>
              <c:idx val="1"/>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Swis721 BT" panose="020B0504020202020204" pitchFamily="34" charset="0"/>
                      <a:ea typeface="+mn-ea"/>
                      <a:cs typeface="+mn-cs"/>
                    </a:defRPr>
                  </a:pPr>
                  <a:endParaRPr lang="en-US"/>
                </a:p>
              </c:txPr>
            </c:dLbl>
            <c:dLbl>
              <c:idx val="2"/>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Swis721 BT" panose="020B0504020202020204" pitchFamily="34" charset="0"/>
                      <a:ea typeface="+mn-ea"/>
                      <a:cs typeface="+mn-cs"/>
                    </a:defRPr>
                  </a:pPr>
                  <a:endParaRPr lang="en-US"/>
                </a:p>
              </c:txPr>
            </c:dLbl>
            <c:dLbl>
              <c:idx val="3"/>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Swis721 BT" panose="020B0504020202020204" pitchFamily="34" charset="0"/>
                      <a:ea typeface="+mn-ea"/>
                      <a:cs typeface="+mn-cs"/>
                    </a:defRPr>
                  </a:pPr>
                  <a:endParaRPr lang="en-US"/>
                </a:p>
              </c:txPr>
            </c:dLbl>
            <c:dLbl>
              <c:idx val="4"/>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Swis721 BT" panose="020B0504020202020204" pitchFamily="34" charset="0"/>
                      <a:ea typeface="+mn-ea"/>
                      <a:cs typeface="+mn-cs"/>
                    </a:defRPr>
                  </a:pPr>
                  <a:endParaRPr lang="en-US"/>
                </a:p>
              </c:txPr>
            </c:dLbl>
            <c:dLbl>
              <c:idx val="5"/>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Swis721 BT" panose="020B0504020202020204" pitchFamily="34" charset="0"/>
                      <a:ea typeface="+mn-ea"/>
                      <a:cs typeface="+mn-cs"/>
                    </a:defRPr>
                  </a:pPr>
                  <a:endParaRPr lang="en-US"/>
                </a:p>
              </c:txPr>
            </c:dLbl>
            <c:dLbl>
              <c:idx val="6"/>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Swis721 BT" panose="020B0504020202020204" pitchFamily="34" charset="0"/>
                      <a:ea typeface="+mn-ea"/>
                      <a:cs typeface="+mn-cs"/>
                    </a:defRPr>
                  </a:pPr>
                  <a:endParaRPr lang="en-US"/>
                </a:p>
              </c:txPr>
            </c:dLbl>
            <c:dLbl>
              <c:idx val="7"/>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Swis721 BT" panose="020B0504020202020204" pitchFamily="34" charset="0"/>
                      <a:ea typeface="+mn-ea"/>
                      <a:cs typeface="+mn-cs"/>
                    </a:defRPr>
                  </a:pPr>
                  <a:endParaRPr lang="en-US"/>
                </a:p>
              </c:txPr>
            </c:dLbl>
            <c:dLbl>
              <c:idx val="8"/>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Swis721 BT" panose="020B0504020202020204" pitchFamily="34" charset="0"/>
                      <a:ea typeface="+mn-ea"/>
                      <a:cs typeface="+mn-cs"/>
                    </a:defRPr>
                  </a:pPr>
                  <a:endParaRPr lang="en-US"/>
                </a:p>
              </c:txPr>
            </c:dLbl>
            <c:dLbl>
              <c:idx val="9"/>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Swis721 BT" panose="020B0504020202020204" pitchFamily="34" charset="0"/>
                      <a:ea typeface="+mn-ea"/>
                      <a:cs typeface="+mn-cs"/>
                    </a:defRPr>
                  </a:pPr>
                  <a:endParaRPr lang="en-US"/>
                </a:p>
              </c:txPr>
            </c:dLbl>
            <c:dLbl>
              <c:idx val="1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Swis721 BT" panose="020B0504020202020204" pitchFamily="34" charset="0"/>
                      <a:ea typeface="+mn-ea"/>
                      <a:cs typeface="+mn-cs"/>
                    </a:defRPr>
                  </a:pPr>
                  <a:endParaRPr lang="en-US"/>
                </a:p>
              </c:txPr>
            </c:dLbl>
            <c:dLbl>
              <c:idx val="11"/>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Swis721 BT" panose="020B0504020202020204" pitchFamily="34" charset="0"/>
                      <a:ea typeface="+mn-ea"/>
                      <a:cs typeface="+mn-cs"/>
                    </a:defRPr>
                  </a:pPr>
                  <a:endParaRPr lang="en-US"/>
                </a:p>
              </c:txPr>
            </c:dLbl>
            <c:dLbl>
              <c:idx val="12"/>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Swis721 BT" panose="020B0504020202020204" pitchFamily="34" charset="0"/>
                      <a:ea typeface="+mn-ea"/>
                      <a:cs typeface="+mn-cs"/>
                    </a:defRPr>
                  </a:pPr>
                  <a:endParaRPr lang="en-US"/>
                </a:p>
              </c:txPr>
            </c:dLbl>
            <c:dLbl>
              <c:idx val="13"/>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Swis721 BT" panose="020B0504020202020204" pitchFamily="34" charset="0"/>
                      <a:ea typeface="+mn-ea"/>
                      <a:cs typeface="+mn-cs"/>
                    </a:defRPr>
                  </a:pPr>
                  <a:endParaRPr lang="en-US"/>
                </a:p>
              </c:txPr>
            </c:dLbl>
            <c:dLbl>
              <c:idx val="14"/>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Swis721 BT" panose="020B0504020202020204" pitchFamily="34" charset="0"/>
                      <a:ea typeface="+mn-ea"/>
                      <a:cs typeface="+mn-cs"/>
                    </a:defRPr>
                  </a:pPr>
                  <a:endParaRPr lang="en-US"/>
                </a:p>
              </c:txPr>
            </c:dLbl>
            <c:dLbl>
              <c:idx val="15"/>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Swis721 BT" panose="020B0504020202020204" pitchFamily="34" charset="0"/>
                      <a:ea typeface="+mn-ea"/>
                      <a:cs typeface="+mn-cs"/>
                    </a:defRPr>
                  </a:pPr>
                  <a:endParaRPr lang="en-US"/>
                </a:p>
              </c:txPr>
            </c:dLbl>
            <c:dLbl>
              <c:idx val="16"/>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Swis721 BT" panose="020B0504020202020204" pitchFamily="34" charset="0"/>
                      <a:ea typeface="+mn-ea"/>
                      <a:cs typeface="+mn-cs"/>
                    </a:defRPr>
                  </a:pPr>
                  <a:endParaRPr lang="en-US"/>
                </a:p>
              </c:txPr>
            </c:dLbl>
            <c:dLbl>
              <c:idx val="17"/>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Swis721 BT" panose="020B0504020202020204" pitchFamily="34" charset="0"/>
                      <a:ea typeface="+mn-ea"/>
                      <a:cs typeface="+mn-cs"/>
                    </a:defRPr>
                  </a:pPr>
                  <a:endParaRPr lang="en-US"/>
                </a:p>
              </c:txPr>
            </c:dLbl>
            <c:dLbl>
              <c:idx val="18"/>
              <c:layout>
                <c:manualLayout>
                  <c:x val="-2.1367521367521374E-3"/>
                  <c:y val="-2.4154589371980662E-2"/>
                </c:manualLayout>
              </c:layout>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Swis721 BT" panose="020B0504020202020204" pitchFamily="34" charset="0"/>
                      <a:ea typeface="+mn-ea"/>
                      <a:cs typeface="+mn-cs"/>
                    </a:defRPr>
                  </a:pPr>
                  <a:endParaRPr lang="en-US"/>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8D5A-471E-BCF1-170F39D70543}"/>
                </c:ext>
              </c:extLst>
            </c:dLbl>
            <c:dLbl>
              <c:idx val="19"/>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Swis721 BT" panose="020B0504020202020204" pitchFamily="34" charset="0"/>
                      <a:ea typeface="+mn-ea"/>
                      <a:cs typeface="+mn-cs"/>
                    </a:defRPr>
                  </a:pPr>
                  <a:endParaRPr lang="en-US"/>
                </a:p>
              </c:txPr>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Swis721 BT" panose="020B0504020202020204" pitchFamily="34" charset="0"/>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Sheet1!$H$1:$H$20</c:f>
              <c:strCache>
                <c:ptCount val="20"/>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pt idx="18">
                  <c:v>S</c:v>
                </c:pt>
                <c:pt idx="19">
                  <c:v>T</c:v>
                </c:pt>
              </c:strCache>
            </c:strRef>
          </c:cat>
          <c:val>
            <c:numRef>
              <c:f>Sheet1!$I$1:$I$20</c:f>
              <c:numCache>
                <c:formatCode>_(* #,##0_);_(* \(#,##0\);_(* "-"??_);_(@_)</c:formatCode>
                <c:ptCount val="20"/>
                <c:pt idx="0">
                  <c:v>943</c:v>
                </c:pt>
                <c:pt idx="1">
                  <c:v>305</c:v>
                </c:pt>
                <c:pt idx="2">
                  <c:v>2</c:v>
                </c:pt>
                <c:pt idx="3">
                  <c:v>8912</c:v>
                </c:pt>
                <c:pt idx="4">
                  <c:v>446</c:v>
                </c:pt>
                <c:pt idx="5">
                  <c:v>16</c:v>
                </c:pt>
                <c:pt idx="6">
                  <c:v>1801</c:v>
                </c:pt>
                <c:pt idx="7">
                  <c:v>391</c:v>
                </c:pt>
                <c:pt idx="8">
                  <c:v>204</c:v>
                </c:pt>
                <c:pt idx="9">
                  <c:v>3528</c:v>
                </c:pt>
                <c:pt idx="10">
                  <c:v>585</c:v>
                </c:pt>
                <c:pt idx="11">
                  <c:v>177</c:v>
                </c:pt>
                <c:pt idx="12">
                  <c:v>503</c:v>
                </c:pt>
                <c:pt idx="13">
                  <c:v>327</c:v>
                </c:pt>
                <c:pt idx="14">
                  <c:v>77</c:v>
                </c:pt>
                <c:pt idx="15">
                  <c:v>10653</c:v>
                </c:pt>
                <c:pt idx="16">
                  <c:v>130</c:v>
                </c:pt>
                <c:pt idx="17">
                  <c:v>8199</c:v>
                </c:pt>
                <c:pt idx="18">
                  <c:v>3183</c:v>
                </c:pt>
                <c:pt idx="19">
                  <c:v>2615</c:v>
                </c:pt>
              </c:numCache>
            </c:numRef>
          </c:val>
          <c:extLst xmlns:c16r2="http://schemas.microsoft.com/office/drawing/2015/06/chart">
            <c:ext xmlns:c16="http://schemas.microsoft.com/office/drawing/2014/chart" uri="{C3380CC4-5D6E-409C-BE32-E72D297353CC}">
              <c16:uniqueId val="{00000012-8D5A-471E-BCF1-170F39D70543}"/>
            </c:ext>
          </c:extLst>
        </c:ser>
        <c:gapWidth val="100"/>
        <c:overlap val="-27"/>
        <c:axId val="170206720"/>
        <c:axId val="170208640"/>
      </c:barChart>
      <c:catAx>
        <c:axId val="170206720"/>
        <c:scaling>
          <c:orientation val="minMax"/>
        </c:scaling>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Swis721 BT" panose="020B0504020202020204" pitchFamily="34" charset="0"/>
                    <a:ea typeface="+mn-ea"/>
                    <a:cs typeface="+mn-cs"/>
                  </a:defRPr>
                </a:pPr>
                <a:r>
                  <a:rPr lang="en-US" sz="900"/>
                  <a:t>U.P. Utilities</a:t>
                </a:r>
                <a:r>
                  <a:rPr lang="en-US" sz="900" baseline="0"/>
                  <a:t> (see key)</a:t>
                </a:r>
                <a:endParaRPr lang="en-US" sz="900"/>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wis721 BT" panose="020B0504020202020204" pitchFamily="34" charset="0"/>
                <a:ea typeface="+mn-ea"/>
                <a:cs typeface="+mn-cs"/>
              </a:defRPr>
            </a:pPr>
            <a:endParaRPr lang="en-US"/>
          </a:p>
        </c:txPr>
        <c:crossAx val="170208640"/>
        <c:crosses val="autoZero"/>
        <c:auto val="1"/>
        <c:lblAlgn val="ctr"/>
        <c:lblOffset val="100"/>
      </c:catAx>
      <c:valAx>
        <c:axId val="17020864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Swis721 BT" panose="020B0504020202020204" pitchFamily="34" charset="0"/>
                    <a:ea typeface="+mn-ea"/>
                    <a:cs typeface="+mn-cs"/>
                  </a:defRPr>
                </a:pPr>
                <a:r>
                  <a:rPr lang="en-US" sz="900"/>
                  <a:t>Annual</a:t>
                </a:r>
                <a:r>
                  <a:rPr lang="en-US" sz="900" baseline="0"/>
                  <a:t> Savings (MWh)</a:t>
                </a:r>
                <a:endParaRPr lang="en-US" sz="900"/>
              </a:p>
            </c:rich>
          </c:tx>
          <c:spPr>
            <a:noFill/>
            <a:ln>
              <a:noFill/>
            </a:ln>
            <a:effectLst/>
          </c:spPr>
        </c:title>
        <c:numFmt formatCode="_(* #,##0_);_(* \(#,##0\);_(* &quot;-&quot;??_);_(@_)"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Swis721 BT" panose="020B0504020202020204" pitchFamily="34" charset="0"/>
                <a:ea typeface="+mn-ea"/>
                <a:cs typeface="+mn-cs"/>
              </a:defRPr>
            </a:pPr>
            <a:endParaRPr lang="en-US"/>
          </a:p>
        </c:txPr>
        <c:crossAx val="17020672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Swis721 BT" panose="020B0504020202020204" pitchFamily="34"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spPr>
            <a:solidFill>
              <a:schemeClr val="accent1"/>
            </a:solidFill>
            <a:ln>
              <a:noFill/>
            </a:ln>
            <a:effectLst/>
          </c:spPr>
          <c:dPt>
            <c:idx val="0"/>
            <c:spPr>
              <a:solidFill>
                <a:srgbClr val="FFC000"/>
              </a:solidFill>
              <a:ln>
                <a:noFill/>
              </a:ln>
              <a:effectLst/>
            </c:spPr>
            <c:extLst xmlns:c16r2="http://schemas.microsoft.com/office/drawing/2015/06/chart">
              <c:ext xmlns:c16="http://schemas.microsoft.com/office/drawing/2014/chart" uri="{C3380CC4-5D6E-409C-BE32-E72D297353CC}">
                <c16:uniqueId val="{00000001-20E2-4831-B66A-2449C182A511}"/>
              </c:ext>
            </c:extLst>
          </c:dPt>
          <c:dPt>
            <c:idx val="1"/>
            <c:spPr>
              <a:solidFill>
                <a:sysClr val="window" lastClr="FFFFFF">
                  <a:lumMod val="65000"/>
                </a:sysClr>
              </a:solidFill>
              <a:ln>
                <a:noFill/>
              </a:ln>
              <a:effectLst/>
            </c:spPr>
            <c:extLst xmlns:c16r2="http://schemas.microsoft.com/office/drawing/2015/06/chart">
              <c:ext xmlns:c16="http://schemas.microsoft.com/office/drawing/2014/chart" uri="{C3380CC4-5D6E-409C-BE32-E72D297353CC}">
                <c16:uniqueId val="{00000003-20E2-4831-B66A-2449C182A511}"/>
              </c:ext>
            </c:extLst>
          </c:dPt>
          <c:dPt>
            <c:idx val="2"/>
            <c:spPr>
              <a:solidFill>
                <a:sysClr val="window" lastClr="FFFFFF">
                  <a:lumMod val="65000"/>
                </a:sysClr>
              </a:solidFill>
              <a:ln>
                <a:noFill/>
              </a:ln>
              <a:effectLst/>
            </c:spPr>
            <c:extLst xmlns:c16r2="http://schemas.microsoft.com/office/drawing/2015/06/chart">
              <c:ext xmlns:c16="http://schemas.microsoft.com/office/drawing/2014/chart" uri="{C3380CC4-5D6E-409C-BE32-E72D297353CC}">
                <c16:uniqueId val="{00000005-20E2-4831-B66A-2449C182A511}"/>
              </c:ext>
            </c:extLst>
          </c:dPt>
          <c:dPt>
            <c:idx val="3"/>
            <c:spPr>
              <a:solidFill>
                <a:srgbClr val="FFB623"/>
              </a:solidFill>
              <a:ln>
                <a:noFill/>
              </a:ln>
              <a:effectLst/>
            </c:spPr>
            <c:extLst xmlns:c16r2="http://schemas.microsoft.com/office/drawing/2015/06/chart">
              <c:ext xmlns:c16="http://schemas.microsoft.com/office/drawing/2014/chart" uri="{C3380CC4-5D6E-409C-BE32-E72D297353CC}">
                <c16:uniqueId val="{00000007-20E2-4831-B66A-2449C182A511}"/>
              </c:ext>
            </c:extLst>
          </c:dPt>
          <c:dPt>
            <c:idx val="4"/>
            <c:spPr>
              <a:solidFill>
                <a:srgbClr val="FFB623"/>
              </a:solidFill>
              <a:ln>
                <a:noFill/>
              </a:ln>
              <a:effectLst/>
            </c:spPr>
            <c:extLst xmlns:c16r2="http://schemas.microsoft.com/office/drawing/2015/06/chart">
              <c:ext xmlns:c16="http://schemas.microsoft.com/office/drawing/2014/chart" uri="{C3380CC4-5D6E-409C-BE32-E72D297353CC}">
                <c16:uniqueId val="{00000009-20E2-4831-B66A-2449C182A511}"/>
              </c:ext>
            </c:extLst>
          </c:dPt>
          <c:dPt>
            <c:idx val="5"/>
            <c:spPr>
              <a:solidFill>
                <a:srgbClr val="FFB623"/>
              </a:solidFill>
              <a:ln>
                <a:noFill/>
              </a:ln>
              <a:effectLst/>
            </c:spPr>
            <c:extLst xmlns:c16r2="http://schemas.microsoft.com/office/drawing/2015/06/chart">
              <c:ext xmlns:c16="http://schemas.microsoft.com/office/drawing/2014/chart" uri="{C3380CC4-5D6E-409C-BE32-E72D297353CC}">
                <c16:uniqueId val="{0000000B-20E2-4831-B66A-2449C182A511}"/>
              </c:ext>
            </c:extLst>
          </c:dPt>
          <c:dPt>
            <c:idx val="6"/>
            <c:spPr>
              <a:solidFill>
                <a:srgbClr val="FFB623"/>
              </a:solidFill>
              <a:ln>
                <a:noFill/>
              </a:ln>
              <a:effectLst/>
            </c:spPr>
            <c:extLst xmlns:c16r2="http://schemas.microsoft.com/office/drawing/2015/06/chart">
              <c:ext xmlns:c16="http://schemas.microsoft.com/office/drawing/2014/chart" uri="{C3380CC4-5D6E-409C-BE32-E72D297353CC}">
                <c16:uniqueId val="{0000000D-20E2-4831-B66A-2449C182A511}"/>
              </c:ext>
            </c:extLst>
          </c:dPt>
          <c:dPt>
            <c:idx val="7"/>
            <c:spPr>
              <a:solidFill>
                <a:sysClr val="window" lastClr="FFFFFF">
                  <a:lumMod val="65000"/>
                </a:sysClr>
              </a:solidFill>
              <a:ln>
                <a:noFill/>
              </a:ln>
              <a:effectLst/>
            </c:spPr>
            <c:extLst xmlns:c16r2="http://schemas.microsoft.com/office/drawing/2015/06/chart">
              <c:ext xmlns:c16="http://schemas.microsoft.com/office/drawing/2014/chart" uri="{C3380CC4-5D6E-409C-BE32-E72D297353CC}">
                <c16:uniqueId val="{0000000F-20E2-4831-B66A-2449C182A511}"/>
              </c:ext>
            </c:extLst>
          </c:dPt>
          <c:dPt>
            <c:idx val="8"/>
            <c:spPr>
              <a:solidFill>
                <a:sysClr val="window" lastClr="FFFFFF">
                  <a:lumMod val="65000"/>
                </a:sysClr>
              </a:solidFill>
              <a:ln>
                <a:noFill/>
              </a:ln>
              <a:effectLst/>
            </c:spPr>
            <c:extLst xmlns:c16r2="http://schemas.microsoft.com/office/drawing/2015/06/chart">
              <c:ext xmlns:c16="http://schemas.microsoft.com/office/drawing/2014/chart" uri="{C3380CC4-5D6E-409C-BE32-E72D297353CC}">
                <c16:uniqueId val="{00000011-20E2-4831-B66A-2449C182A511}"/>
              </c:ext>
            </c:extLst>
          </c:dPt>
          <c:dPt>
            <c:idx val="9"/>
            <c:spPr>
              <a:solidFill>
                <a:srgbClr val="FFB623"/>
              </a:solidFill>
              <a:ln>
                <a:noFill/>
              </a:ln>
              <a:effectLst/>
            </c:spPr>
            <c:extLst xmlns:c16r2="http://schemas.microsoft.com/office/drawing/2015/06/chart">
              <c:ext xmlns:c16="http://schemas.microsoft.com/office/drawing/2014/chart" uri="{C3380CC4-5D6E-409C-BE32-E72D297353CC}">
                <c16:uniqueId val="{00000013-20E2-4831-B66A-2449C182A511}"/>
              </c:ext>
            </c:extLst>
          </c:dPt>
          <c:dPt>
            <c:idx val="10"/>
            <c:spPr>
              <a:solidFill>
                <a:sysClr val="window" lastClr="FFFFFF">
                  <a:lumMod val="65000"/>
                </a:sysClr>
              </a:solidFill>
              <a:ln>
                <a:noFill/>
              </a:ln>
              <a:effectLst/>
            </c:spPr>
            <c:extLst xmlns:c16r2="http://schemas.microsoft.com/office/drawing/2015/06/chart">
              <c:ext xmlns:c16="http://schemas.microsoft.com/office/drawing/2014/chart" uri="{C3380CC4-5D6E-409C-BE32-E72D297353CC}">
                <c16:uniqueId val="{00000015-20E2-4831-B66A-2449C182A511}"/>
              </c:ext>
            </c:extLst>
          </c:dPt>
          <c:dPt>
            <c:idx val="11"/>
            <c:spPr>
              <a:solidFill>
                <a:srgbClr val="FFB623"/>
              </a:solidFill>
              <a:ln>
                <a:noFill/>
              </a:ln>
              <a:effectLst/>
            </c:spPr>
            <c:extLst xmlns:c16r2="http://schemas.microsoft.com/office/drawing/2015/06/chart">
              <c:ext xmlns:c16="http://schemas.microsoft.com/office/drawing/2014/chart" uri="{C3380CC4-5D6E-409C-BE32-E72D297353CC}">
                <c16:uniqueId val="{00000017-20E2-4831-B66A-2449C182A511}"/>
              </c:ext>
            </c:extLst>
          </c:dPt>
          <c:dPt>
            <c:idx val="12"/>
            <c:spPr>
              <a:solidFill>
                <a:sysClr val="window" lastClr="FFFFFF">
                  <a:lumMod val="65000"/>
                </a:sysClr>
              </a:solidFill>
              <a:ln>
                <a:noFill/>
              </a:ln>
              <a:effectLst/>
            </c:spPr>
            <c:extLst xmlns:c16r2="http://schemas.microsoft.com/office/drawing/2015/06/chart">
              <c:ext xmlns:c16="http://schemas.microsoft.com/office/drawing/2014/chart" uri="{C3380CC4-5D6E-409C-BE32-E72D297353CC}">
                <c16:uniqueId val="{00000019-20E2-4831-B66A-2449C182A511}"/>
              </c:ext>
            </c:extLst>
          </c:dPt>
          <c:dPt>
            <c:idx val="13"/>
            <c:spPr>
              <a:solidFill>
                <a:srgbClr val="FFB623"/>
              </a:solidFill>
              <a:ln>
                <a:noFill/>
              </a:ln>
              <a:effectLst/>
            </c:spPr>
            <c:extLst xmlns:c16r2="http://schemas.microsoft.com/office/drawing/2015/06/chart">
              <c:ext xmlns:c16="http://schemas.microsoft.com/office/drawing/2014/chart" uri="{C3380CC4-5D6E-409C-BE32-E72D297353CC}">
                <c16:uniqueId val="{0000001B-20E2-4831-B66A-2449C182A511}"/>
              </c:ext>
            </c:extLst>
          </c:dPt>
          <c:dPt>
            <c:idx val="14"/>
            <c:spPr>
              <a:solidFill>
                <a:srgbClr val="FFB623"/>
              </a:solidFill>
              <a:ln>
                <a:noFill/>
              </a:ln>
              <a:effectLst/>
            </c:spPr>
            <c:extLst xmlns:c16r2="http://schemas.microsoft.com/office/drawing/2015/06/chart">
              <c:ext xmlns:c16="http://schemas.microsoft.com/office/drawing/2014/chart" uri="{C3380CC4-5D6E-409C-BE32-E72D297353CC}">
                <c16:uniqueId val="{0000001D-20E2-4831-B66A-2449C182A511}"/>
              </c:ext>
            </c:extLst>
          </c:dPt>
          <c:dPt>
            <c:idx val="15"/>
            <c:spPr>
              <a:solidFill>
                <a:sysClr val="window" lastClr="FFFFFF">
                  <a:lumMod val="65000"/>
                </a:sysClr>
              </a:solidFill>
              <a:ln>
                <a:noFill/>
              </a:ln>
              <a:effectLst/>
            </c:spPr>
            <c:extLst xmlns:c16r2="http://schemas.microsoft.com/office/drawing/2015/06/chart">
              <c:ext xmlns:c16="http://schemas.microsoft.com/office/drawing/2014/chart" uri="{C3380CC4-5D6E-409C-BE32-E72D297353CC}">
                <c16:uniqueId val="{0000001F-20E2-4831-B66A-2449C182A511}"/>
              </c:ext>
            </c:extLst>
          </c:dPt>
          <c:dPt>
            <c:idx val="16"/>
            <c:spPr>
              <a:solidFill>
                <a:srgbClr val="8BD4EE"/>
              </a:solidFill>
              <a:ln>
                <a:noFill/>
              </a:ln>
              <a:effectLst/>
            </c:spPr>
            <c:extLst xmlns:c16r2="http://schemas.microsoft.com/office/drawing/2015/06/chart">
              <c:ext xmlns:c16="http://schemas.microsoft.com/office/drawing/2014/chart" uri="{C3380CC4-5D6E-409C-BE32-E72D297353CC}">
                <c16:uniqueId val="{00000021-20E2-4831-B66A-2449C182A511}"/>
              </c:ext>
            </c:extLst>
          </c:dPt>
          <c:dPt>
            <c:idx val="17"/>
            <c:spPr>
              <a:solidFill>
                <a:sysClr val="window" lastClr="FFFFFF">
                  <a:lumMod val="65000"/>
                </a:sysClr>
              </a:solidFill>
              <a:ln>
                <a:noFill/>
              </a:ln>
              <a:effectLst/>
            </c:spPr>
            <c:extLst xmlns:c16r2="http://schemas.microsoft.com/office/drawing/2015/06/chart">
              <c:ext xmlns:c16="http://schemas.microsoft.com/office/drawing/2014/chart" uri="{C3380CC4-5D6E-409C-BE32-E72D297353CC}">
                <c16:uniqueId val="{00000023-20E2-4831-B66A-2449C182A511}"/>
              </c:ext>
            </c:extLst>
          </c:dPt>
          <c:dPt>
            <c:idx val="18"/>
            <c:spPr>
              <a:solidFill>
                <a:sysClr val="window" lastClr="FFFFFF">
                  <a:lumMod val="65000"/>
                </a:sysClr>
              </a:solidFill>
              <a:ln>
                <a:noFill/>
              </a:ln>
              <a:effectLst/>
            </c:spPr>
            <c:extLst xmlns:c16r2="http://schemas.microsoft.com/office/drawing/2015/06/chart">
              <c:ext xmlns:c16="http://schemas.microsoft.com/office/drawing/2014/chart" uri="{C3380CC4-5D6E-409C-BE32-E72D297353CC}">
                <c16:uniqueId val="{00000025-20E2-4831-B66A-2449C182A511}"/>
              </c:ext>
            </c:extLst>
          </c:dPt>
          <c:dPt>
            <c:idx val="19"/>
            <c:spPr>
              <a:solidFill>
                <a:sysClr val="window" lastClr="FFFFFF">
                  <a:lumMod val="65000"/>
                </a:sysClr>
              </a:solidFill>
              <a:ln>
                <a:noFill/>
              </a:ln>
              <a:effectLst/>
            </c:spPr>
            <c:extLst xmlns:c16r2="http://schemas.microsoft.com/office/drawing/2015/06/chart">
              <c:ext xmlns:c16="http://schemas.microsoft.com/office/drawing/2014/chart" uri="{C3380CC4-5D6E-409C-BE32-E72D297353CC}">
                <c16:uniqueId val="{00000027-20E2-4831-B66A-2449C182A511}"/>
              </c:ext>
            </c:extLst>
          </c:dPt>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Swis721 BT" panose="020B0504020202020204" pitchFamily="34" charset="0"/>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Sheet1!$E$4:$E$23</c:f>
              <c:strCache>
                <c:ptCount val="20"/>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pt idx="18">
                  <c:v>S</c:v>
                </c:pt>
                <c:pt idx="19">
                  <c:v>T</c:v>
                </c:pt>
              </c:strCache>
            </c:strRef>
          </c:cat>
          <c:val>
            <c:numRef>
              <c:f>Sheet1!$F$4:$F$23</c:f>
              <c:numCache>
                <c:formatCode>0%</c:formatCode>
                <c:ptCount val="20"/>
                <c:pt idx="0">
                  <c:v>1.3627167630057808</c:v>
                </c:pt>
                <c:pt idx="1">
                  <c:v>1.6223404255319156</c:v>
                </c:pt>
                <c:pt idx="2">
                  <c:v>1.06</c:v>
                </c:pt>
                <c:pt idx="3">
                  <c:v>1.3094328533646777</c:v>
                </c:pt>
                <c:pt idx="4">
                  <c:v>2.7361963190184047</c:v>
                </c:pt>
                <c:pt idx="5">
                  <c:v>1.4545454545454546</c:v>
                </c:pt>
                <c:pt idx="6">
                  <c:v>1.2891911238367935</c:v>
                </c:pt>
                <c:pt idx="7">
                  <c:v>1.2067901234567906</c:v>
                </c:pt>
                <c:pt idx="8">
                  <c:v>1.7</c:v>
                </c:pt>
                <c:pt idx="9">
                  <c:v>1.1697612732095486</c:v>
                </c:pt>
                <c:pt idx="10">
                  <c:v>2.5770925110132157</c:v>
                </c:pt>
                <c:pt idx="11">
                  <c:v>1.0114285714285713</c:v>
                </c:pt>
                <c:pt idx="12">
                  <c:v>1.7526132404181181</c:v>
                </c:pt>
                <c:pt idx="13">
                  <c:v>1.2339622641509429</c:v>
                </c:pt>
                <c:pt idx="14">
                  <c:v>1.2622950819672136</c:v>
                </c:pt>
                <c:pt idx="15">
                  <c:v>1.2996218128583621</c:v>
                </c:pt>
                <c:pt idx="16">
                  <c:v>1</c:v>
                </c:pt>
                <c:pt idx="17">
                  <c:v>1.4222029488291414</c:v>
                </c:pt>
                <c:pt idx="18">
                  <c:v>1.1470270270270271</c:v>
                </c:pt>
                <c:pt idx="19">
                  <c:v>1.8585643212508884</c:v>
                </c:pt>
              </c:numCache>
            </c:numRef>
          </c:val>
          <c:extLst xmlns:c16r2="http://schemas.microsoft.com/office/drawing/2015/06/chart">
            <c:ext xmlns:c16="http://schemas.microsoft.com/office/drawing/2014/chart" uri="{C3380CC4-5D6E-409C-BE32-E72D297353CC}">
              <c16:uniqueId val="{00000028-20E2-4831-B66A-2449C182A511}"/>
            </c:ext>
          </c:extLst>
        </c:ser>
        <c:gapWidth val="100"/>
        <c:overlap val="-27"/>
        <c:axId val="172310528"/>
        <c:axId val="172312448"/>
      </c:barChart>
      <c:catAx>
        <c:axId val="172310528"/>
        <c:scaling>
          <c:orientation val="minMax"/>
        </c:scaling>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Swis721 BT" panose="020B0504020202020204" pitchFamily="34" charset="0"/>
                    <a:ea typeface="+mn-ea"/>
                    <a:cs typeface="+mn-cs"/>
                  </a:defRPr>
                </a:pPr>
                <a:r>
                  <a:rPr lang="en-US" sz="900"/>
                  <a:t>U.P.</a:t>
                </a:r>
                <a:r>
                  <a:rPr lang="en-US" sz="900" baseline="0"/>
                  <a:t> Utilities (see key)</a:t>
                </a:r>
                <a:endParaRPr lang="en-US" sz="900"/>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wis721 BT" panose="020B0504020202020204" pitchFamily="34" charset="0"/>
                <a:ea typeface="+mn-ea"/>
                <a:cs typeface="+mn-cs"/>
              </a:defRPr>
            </a:pPr>
            <a:endParaRPr lang="en-US"/>
          </a:p>
        </c:txPr>
        <c:crossAx val="172312448"/>
        <c:crosses val="autoZero"/>
        <c:auto val="1"/>
        <c:lblAlgn val="ctr"/>
        <c:lblOffset val="100"/>
      </c:catAx>
      <c:valAx>
        <c:axId val="17231244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Swis721 BT" panose="020B0504020202020204" pitchFamily="34" charset="0"/>
                    <a:ea typeface="+mn-ea"/>
                    <a:cs typeface="+mn-cs"/>
                  </a:defRPr>
                </a:pPr>
                <a:r>
                  <a:rPr lang="en-US"/>
                  <a:t>Percent of Target Achieved</a:t>
                </a:r>
              </a:p>
            </c:rich>
          </c:tx>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Swis721 BT" panose="020B0504020202020204" pitchFamily="34" charset="0"/>
                <a:ea typeface="+mn-ea"/>
                <a:cs typeface="+mn-cs"/>
              </a:defRPr>
            </a:pPr>
            <a:endParaRPr lang="en-US"/>
          </a:p>
        </c:txPr>
        <c:crossAx val="17231052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900">
          <a:latin typeface="Swis721 BT" panose="020B0504020202020204" pitchFamily="34" charset="0"/>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'UP NatGas Programs'!$F$11</c:f>
              <c:strCache>
                <c:ptCount val="1"/>
                <c:pt idx="0">
                  <c:v>Target</c:v>
                </c:pt>
              </c:strCache>
            </c:strRef>
          </c:tx>
          <c:spPr>
            <a:solidFill>
              <a:schemeClr val="accent1"/>
            </a:solidFill>
            <a:ln>
              <a:noFill/>
            </a:ln>
            <a:effectLst/>
          </c:spPr>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Swis721 BT" panose="020B0504020202020204" pitchFamily="34" charset="0"/>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'UP NatGas Programs'!$E$12:$E$15</c:f>
              <c:strCache>
                <c:ptCount val="4"/>
                <c:pt idx="0">
                  <c:v>Wisconsin Public Service</c:v>
                </c:pt>
                <c:pt idx="1">
                  <c:v>Xcel Energy </c:v>
                </c:pt>
                <c:pt idx="2">
                  <c:v>SEMCO Energy</c:v>
                </c:pt>
                <c:pt idx="3">
                  <c:v>DTE Energy</c:v>
                </c:pt>
              </c:strCache>
            </c:strRef>
          </c:cat>
          <c:val>
            <c:numRef>
              <c:f>'UP NatGas Programs'!$F$12:$F$15</c:f>
              <c:numCache>
                <c:formatCode>#,##0;[Red]#,##0</c:formatCode>
                <c:ptCount val="4"/>
                <c:pt idx="0">
                  <c:v>132637</c:v>
                </c:pt>
                <c:pt idx="1">
                  <c:v>68428</c:v>
                </c:pt>
                <c:pt idx="2">
                  <c:v>56848.762499999997</c:v>
                </c:pt>
                <c:pt idx="3">
                  <c:v>349737.65249999985</c:v>
                </c:pt>
              </c:numCache>
            </c:numRef>
          </c:val>
          <c:extLst xmlns:c16r2="http://schemas.microsoft.com/office/drawing/2015/06/chart">
            <c:ext xmlns:c16="http://schemas.microsoft.com/office/drawing/2014/chart" uri="{C3380CC4-5D6E-409C-BE32-E72D297353CC}">
              <c16:uniqueId val="{00000000-D6EA-41F7-9EBE-A499CB84F5D4}"/>
            </c:ext>
          </c:extLst>
        </c:ser>
        <c:ser>
          <c:idx val="1"/>
          <c:order val="1"/>
          <c:tx>
            <c:strRef>
              <c:f>'UP NatGas Programs'!$G$11</c:f>
              <c:strCache>
                <c:ptCount val="1"/>
                <c:pt idx="0">
                  <c:v>Reported Savings</c:v>
                </c:pt>
              </c:strCache>
            </c:strRef>
          </c:tx>
          <c:spPr>
            <a:solidFill>
              <a:schemeClr val="bg1">
                <a:lumMod val="65000"/>
              </a:schemeClr>
            </a:solidFill>
            <a:ln>
              <a:noFill/>
            </a:ln>
            <a:effectLst/>
          </c:spPr>
          <c:dLbls>
            <c:dLbl>
              <c:idx val="0"/>
              <c:layout>
                <c:manualLayout>
                  <c:x val="8.5470085470085097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6EA-41F7-9EBE-A499CB84F5D4}"/>
                </c:ext>
              </c:extLst>
            </c:dLbl>
            <c:dLbl>
              <c:idx val="1"/>
              <c:layout>
                <c:manualLayout>
                  <c:x val="8.5470085470085496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6EA-41F7-9EBE-A499CB84F5D4}"/>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Swis721 BT" panose="020B0504020202020204" pitchFamily="34" charset="0"/>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'UP NatGas Programs'!$E$12:$E$15</c:f>
              <c:strCache>
                <c:ptCount val="4"/>
                <c:pt idx="0">
                  <c:v>Wisconsin Public Service</c:v>
                </c:pt>
                <c:pt idx="1">
                  <c:v>Xcel Energy </c:v>
                </c:pt>
                <c:pt idx="2">
                  <c:v>SEMCO Energy</c:v>
                </c:pt>
                <c:pt idx="3">
                  <c:v>DTE Energy</c:v>
                </c:pt>
              </c:strCache>
            </c:strRef>
          </c:cat>
          <c:val>
            <c:numRef>
              <c:f>'UP NatGas Programs'!$G$12:$G$15</c:f>
              <c:numCache>
                <c:formatCode>#,##0;[Red]#,##0</c:formatCode>
                <c:ptCount val="4"/>
                <c:pt idx="0">
                  <c:v>216775</c:v>
                </c:pt>
                <c:pt idx="1">
                  <c:v>159615</c:v>
                </c:pt>
                <c:pt idx="2">
                  <c:v>431299.80583666218</c:v>
                </c:pt>
                <c:pt idx="3" formatCode="#,##0">
                  <c:v>2186862</c:v>
                </c:pt>
              </c:numCache>
            </c:numRef>
          </c:val>
          <c:extLst xmlns:c16r2="http://schemas.microsoft.com/office/drawing/2015/06/chart">
            <c:ext xmlns:c16="http://schemas.microsoft.com/office/drawing/2014/chart" uri="{C3380CC4-5D6E-409C-BE32-E72D297353CC}">
              <c16:uniqueId val="{00000001-D6EA-41F7-9EBE-A499CB84F5D4}"/>
            </c:ext>
          </c:extLst>
        </c:ser>
        <c:gapWidth val="219"/>
        <c:overlap val="-27"/>
        <c:axId val="190865792"/>
        <c:axId val="190867328"/>
      </c:barChart>
      <c:catAx>
        <c:axId val="1908657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wis721 BT" panose="020B0504020202020204" pitchFamily="34" charset="0"/>
                <a:ea typeface="+mn-ea"/>
                <a:cs typeface="+mn-cs"/>
              </a:defRPr>
            </a:pPr>
            <a:endParaRPr lang="en-US"/>
          </a:p>
        </c:txPr>
        <c:crossAx val="190867328"/>
        <c:crosses val="autoZero"/>
        <c:auto val="1"/>
        <c:lblAlgn val="ctr"/>
        <c:lblOffset val="100"/>
      </c:catAx>
      <c:valAx>
        <c:axId val="19086732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Swis721 BT" panose="020B0504020202020204" pitchFamily="34" charset="0"/>
                    <a:ea typeface="+mn-ea"/>
                    <a:cs typeface="+mn-cs"/>
                  </a:defRPr>
                </a:pPr>
                <a:r>
                  <a:rPr lang="en-US"/>
                  <a:t>Annual Savings (Ccf)</a:t>
                </a:r>
              </a:p>
            </c:rich>
          </c:tx>
          <c:spPr>
            <a:noFill/>
            <a:ln>
              <a:noFill/>
            </a:ln>
            <a:effectLst/>
          </c:spPr>
        </c:title>
        <c:numFmt formatCode="#,##0;[Red]#,##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wis721 BT" panose="020B0504020202020204" pitchFamily="34" charset="0"/>
                <a:ea typeface="+mn-ea"/>
                <a:cs typeface="+mn-cs"/>
              </a:defRPr>
            </a:pPr>
            <a:endParaRPr lang="en-US"/>
          </a:p>
        </c:txPr>
        <c:crossAx val="19086579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wis721 BT" panose="020B0504020202020204" pitchFamily="34" charset="0"/>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900">
          <a:latin typeface="Swis721 BT" panose="020B0504020202020204" pitchFamily="34"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9.7421764587118917E-2"/>
          <c:y val="6.3860667634252535E-2"/>
          <c:w val="0.80301971868901023"/>
          <c:h val="0.58429996685827912"/>
        </c:manualLayout>
      </c:layout>
      <c:barChart>
        <c:barDir val="col"/>
        <c:grouping val="clustered"/>
        <c:ser>
          <c:idx val="0"/>
          <c:order val="0"/>
          <c:tx>
            <c:strRef>
              <c:f>'UP Electric Programs'!$C$28</c:f>
              <c:strCache>
                <c:ptCount val="1"/>
                <c:pt idx="0">
                  <c:v>Program Savings</c:v>
                </c:pt>
              </c:strCache>
            </c:strRef>
          </c:tx>
          <c:spPr>
            <a:solidFill>
              <a:srgbClr val="FFC000"/>
            </a:solidFill>
            <a:ln>
              <a:noFill/>
            </a:ln>
            <a:effectLst/>
          </c:spPr>
          <c:cat>
            <c:strRef>
              <c:f>'UP Electric Programs'!$B$29:$B$36</c:f>
              <c:strCache>
                <c:ptCount val="8"/>
                <c:pt idx="0">
                  <c:v>Income Qualified</c:v>
                </c:pt>
                <c:pt idx="1">
                  <c:v>High-efficiency Products</c:v>
                </c:pt>
                <c:pt idx="2">
                  <c:v>Appliance Recycling</c:v>
                </c:pt>
                <c:pt idx="3">
                  <c:v>Residential Equipment and Envelope Upgrades</c:v>
                </c:pt>
                <c:pt idx="4">
                  <c:v>Farm Services</c:v>
                </c:pt>
                <c:pt idx="5">
                  <c:v>Educational Services</c:v>
                </c:pt>
                <c:pt idx="6">
                  <c:v>Pilot Programs </c:v>
                </c:pt>
                <c:pt idx="7">
                  <c:v>Commercial and Industrial/ Business Services</c:v>
                </c:pt>
              </c:strCache>
            </c:strRef>
          </c:cat>
          <c:val>
            <c:numRef>
              <c:f>'UP Electric Programs'!$C$29:$C$36</c:f>
              <c:numCache>
                <c:formatCode>#,##0;[Red]#,##0</c:formatCode>
                <c:ptCount val="8"/>
                <c:pt idx="0">
                  <c:v>1816.8519999999999</c:v>
                </c:pt>
                <c:pt idx="1">
                  <c:v>12961.734000000004</c:v>
                </c:pt>
                <c:pt idx="2">
                  <c:v>588.88199999999972</c:v>
                </c:pt>
                <c:pt idx="3">
                  <c:v>1677.3989999999999</c:v>
                </c:pt>
                <c:pt idx="4">
                  <c:v>25.606000000000005</c:v>
                </c:pt>
                <c:pt idx="5">
                  <c:v>881.64599999999996</c:v>
                </c:pt>
                <c:pt idx="6">
                  <c:v>1216.511</c:v>
                </c:pt>
                <c:pt idx="7">
                  <c:v>23680.858</c:v>
                </c:pt>
              </c:numCache>
            </c:numRef>
          </c:val>
          <c:extLst xmlns:c16r2="http://schemas.microsoft.com/office/drawing/2015/06/chart">
            <c:ext xmlns:c16="http://schemas.microsoft.com/office/drawing/2014/chart" uri="{C3380CC4-5D6E-409C-BE32-E72D297353CC}">
              <c16:uniqueId val="{00000000-82A0-4D4C-A6B1-269E38647DB7}"/>
            </c:ext>
          </c:extLst>
        </c:ser>
        <c:gapWidth val="219"/>
        <c:overlap val="-27"/>
        <c:axId val="190883328"/>
        <c:axId val="190884864"/>
      </c:barChart>
      <c:scatterChart>
        <c:scatterStyle val="lineMarker"/>
        <c:ser>
          <c:idx val="1"/>
          <c:order val="1"/>
          <c:tx>
            <c:strRef>
              <c:f>'UP Electric Programs'!$D$28</c:f>
              <c:strCache>
                <c:ptCount val="1"/>
                <c:pt idx="0">
                  <c:v>Program Spending</c:v>
                </c:pt>
              </c:strCache>
            </c:strRef>
          </c:tx>
          <c:spPr>
            <a:ln w="25400" cap="rnd">
              <a:noFill/>
              <a:round/>
            </a:ln>
            <a:effectLst/>
          </c:spPr>
          <c:marker>
            <c:symbol val="diamond"/>
            <c:size val="7"/>
            <c:spPr>
              <a:solidFill>
                <a:srgbClr val="595959"/>
              </a:solidFill>
              <a:ln w="9525">
                <a:noFill/>
              </a:ln>
              <a:effectLst/>
            </c:spPr>
          </c:marker>
          <c:xVal>
            <c:strRef>
              <c:f>'UP Electric Programs'!$B$29:$B$36</c:f>
              <c:strCache>
                <c:ptCount val="8"/>
                <c:pt idx="0">
                  <c:v>Income Qualified</c:v>
                </c:pt>
                <c:pt idx="1">
                  <c:v>High-efficiency Products</c:v>
                </c:pt>
                <c:pt idx="2">
                  <c:v>Appliance Recycling</c:v>
                </c:pt>
                <c:pt idx="3">
                  <c:v>Residential Equipment and Envelope Upgrades</c:v>
                </c:pt>
                <c:pt idx="4">
                  <c:v>Farm Services</c:v>
                </c:pt>
                <c:pt idx="5">
                  <c:v>Educational Services</c:v>
                </c:pt>
                <c:pt idx="6">
                  <c:v>Pilot Programs </c:v>
                </c:pt>
                <c:pt idx="7">
                  <c:v>Commercial and Industrial/ Business Services</c:v>
                </c:pt>
              </c:strCache>
            </c:strRef>
          </c:xVal>
          <c:yVal>
            <c:numRef>
              <c:f>'UP Electric Programs'!$D$29:$D$36</c:f>
              <c:numCache>
                <c:formatCode>"$"#,##0</c:formatCode>
                <c:ptCount val="8"/>
                <c:pt idx="0">
                  <c:v>325.89499999999987</c:v>
                </c:pt>
                <c:pt idx="1">
                  <c:v>816.72500000000002</c:v>
                </c:pt>
                <c:pt idx="2">
                  <c:v>91.245999999999995</c:v>
                </c:pt>
                <c:pt idx="3">
                  <c:v>427.75099999999986</c:v>
                </c:pt>
                <c:pt idx="4">
                  <c:v>12.715</c:v>
                </c:pt>
                <c:pt idx="5">
                  <c:v>138.80500000000001</c:v>
                </c:pt>
                <c:pt idx="6">
                  <c:v>197.578</c:v>
                </c:pt>
                <c:pt idx="7">
                  <c:v>1700.6219999999998</c:v>
                </c:pt>
              </c:numCache>
            </c:numRef>
          </c:yVal>
          <c:extLst xmlns:c16r2="http://schemas.microsoft.com/office/drawing/2015/06/chart">
            <c:ext xmlns:c16="http://schemas.microsoft.com/office/drawing/2014/chart" uri="{C3380CC4-5D6E-409C-BE32-E72D297353CC}">
              <c16:uniqueId val="{00000001-82A0-4D4C-A6B1-269E38647DB7}"/>
            </c:ext>
          </c:extLst>
        </c:ser>
        <c:axId val="190893056"/>
        <c:axId val="190891136"/>
      </c:scatterChart>
      <c:catAx>
        <c:axId val="1908833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Swis721 BT" panose="020B0504020202020204" pitchFamily="34" charset="0"/>
                <a:ea typeface="+mn-ea"/>
                <a:cs typeface="+mn-cs"/>
              </a:defRPr>
            </a:pPr>
            <a:endParaRPr lang="en-US"/>
          </a:p>
        </c:txPr>
        <c:crossAx val="190884864"/>
        <c:crosses val="autoZero"/>
        <c:auto val="1"/>
        <c:lblAlgn val="ctr"/>
        <c:lblOffset val="100"/>
      </c:catAx>
      <c:valAx>
        <c:axId val="19088486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Swis721 BT" panose="020B0504020202020204" pitchFamily="34" charset="0"/>
                    <a:ea typeface="+mn-ea"/>
                    <a:cs typeface="+mn-cs"/>
                  </a:defRPr>
                </a:pPr>
                <a:r>
                  <a:rPr lang="en-US"/>
                  <a:t>Annual Savings (MWhs)</a:t>
                </a:r>
              </a:p>
            </c:rich>
          </c:tx>
          <c:spPr>
            <a:noFill/>
            <a:ln>
              <a:noFill/>
            </a:ln>
            <a:effectLst/>
          </c:spPr>
        </c:title>
        <c:numFmt formatCode="#,##0;[Red]#,##0"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Swis721 BT" panose="020B0504020202020204" pitchFamily="34" charset="0"/>
                <a:ea typeface="+mn-ea"/>
                <a:cs typeface="+mn-cs"/>
              </a:defRPr>
            </a:pPr>
            <a:endParaRPr lang="en-US"/>
          </a:p>
        </c:txPr>
        <c:crossAx val="190883328"/>
        <c:crosses val="autoZero"/>
        <c:crossBetween val="between"/>
      </c:valAx>
      <c:valAx>
        <c:axId val="190891136"/>
        <c:scaling>
          <c:orientation val="minMax"/>
        </c:scaling>
        <c:axPos val="r"/>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Swis721 BT" panose="020B0504020202020204" pitchFamily="34" charset="0"/>
                    <a:ea typeface="+mn-ea"/>
                    <a:cs typeface="+mn-cs"/>
                  </a:defRPr>
                </a:pPr>
                <a:r>
                  <a:rPr lang="en-US"/>
                  <a:t>Spending (Thousands of Dollars)</a:t>
                </a:r>
              </a:p>
            </c:rich>
          </c:tx>
          <c:spPr>
            <a:noFill/>
            <a:ln>
              <a:noFill/>
            </a:ln>
            <a:effectLst/>
          </c:spPr>
        </c:title>
        <c:numFmt formatCode="&quot;$&quot;#,##0" sourceLinked="1"/>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Swis721 BT" panose="020B0504020202020204" pitchFamily="34" charset="0"/>
                <a:ea typeface="+mn-ea"/>
                <a:cs typeface="+mn-cs"/>
              </a:defRPr>
            </a:pPr>
            <a:endParaRPr lang="en-US"/>
          </a:p>
        </c:txPr>
        <c:crossAx val="190893056"/>
        <c:crosses val="max"/>
        <c:crossBetween val="midCat"/>
      </c:valAx>
      <c:valAx>
        <c:axId val="190893056"/>
        <c:scaling>
          <c:orientation val="minMax"/>
        </c:scaling>
        <c:delete val="1"/>
        <c:axPos val="b"/>
        <c:numFmt formatCode="General" sourceLinked="1"/>
        <c:tickLblPos val="none"/>
        <c:crossAx val="190891136"/>
        <c:crosses val="autoZero"/>
        <c:crossBetween val="midCat"/>
      </c:valAx>
      <c:spPr>
        <a:noFill/>
        <a:ln>
          <a:noFill/>
        </a:ln>
        <a:effectLst/>
      </c:spPr>
    </c:plotArea>
    <c:legend>
      <c:legendPos val="b"/>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Swis721 BT" panose="020B0504020202020204" pitchFamily="34" charset="0"/>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800">
          <a:latin typeface="Swis721 BT" panose="020B0504020202020204" pitchFamily="34"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autoTitleDeleted val="1"/>
    <c:plotArea>
      <c:layout/>
      <c:barChart>
        <c:barDir val="col"/>
        <c:grouping val="clustered"/>
        <c:ser>
          <c:idx val="0"/>
          <c:order val="0"/>
          <c:tx>
            <c:strRef>
              <c:f>Sheet2!$C$24</c:f>
              <c:strCache>
                <c:ptCount val="1"/>
                <c:pt idx="0">
                  <c:v>Benefits </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wis721 BT" panose="020B0504020202020204" pitchFamily="34" charset="0"/>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Sheet2!$D$23:$F$23</c:f>
              <c:strCache>
                <c:ptCount val="3"/>
                <c:pt idx="0">
                  <c:v>Business as Usual</c:v>
                </c:pt>
                <c:pt idx="1">
                  <c:v>Strategic Portfolio</c:v>
                </c:pt>
                <c:pt idx="2">
                  <c:v>All Achievable Potential</c:v>
                </c:pt>
              </c:strCache>
            </c:strRef>
          </c:cat>
          <c:val>
            <c:numRef>
              <c:f>Sheet2!$D$24:$F$24</c:f>
              <c:numCache>
                <c:formatCode>"$"#,##0.0_);[Red]\("$"#,##0.0\)</c:formatCode>
                <c:ptCount val="3"/>
                <c:pt idx="0">
                  <c:v>125.84176336812649</c:v>
                </c:pt>
                <c:pt idx="1">
                  <c:v>157.30220421015812</c:v>
                </c:pt>
                <c:pt idx="2">
                  <c:v>215.80604000000005</c:v>
                </c:pt>
              </c:numCache>
            </c:numRef>
          </c:val>
          <c:extLst xmlns:c16r2="http://schemas.microsoft.com/office/drawing/2015/06/chart">
            <c:ext xmlns:c16="http://schemas.microsoft.com/office/drawing/2014/chart" uri="{C3380CC4-5D6E-409C-BE32-E72D297353CC}">
              <c16:uniqueId val="{00000000-CC43-4C4B-97FC-2BD061FA1DCE}"/>
            </c:ext>
          </c:extLst>
        </c:ser>
        <c:ser>
          <c:idx val="1"/>
          <c:order val="1"/>
          <c:tx>
            <c:strRef>
              <c:f>Sheet2!$C$25</c:f>
              <c:strCache>
                <c:ptCount val="1"/>
                <c:pt idx="0">
                  <c:v>Costs</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wis721 BT" panose="020B0504020202020204" pitchFamily="34" charset="0"/>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Sheet2!$D$23:$F$23</c:f>
              <c:strCache>
                <c:ptCount val="3"/>
                <c:pt idx="0">
                  <c:v>Business as Usual</c:v>
                </c:pt>
                <c:pt idx="1">
                  <c:v>Strategic Portfolio</c:v>
                </c:pt>
                <c:pt idx="2">
                  <c:v>All Achievable Potential</c:v>
                </c:pt>
              </c:strCache>
            </c:strRef>
          </c:cat>
          <c:val>
            <c:numRef>
              <c:f>Sheet2!$D$25:$F$25</c:f>
              <c:numCache>
                <c:formatCode>"$"#,##0.0_);[Red]\("$"#,##0.0\)</c:formatCode>
                <c:ptCount val="3"/>
                <c:pt idx="0">
                  <c:v>44.990901154082245</c:v>
                </c:pt>
                <c:pt idx="1">
                  <c:v>51.7395363271946</c:v>
                </c:pt>
                <c:pt idx="2">
                  <c:v>78.429215999999997</c:v>
                </c:pt>
              </c:numCache>
            </c:numRef>
          </c:val>
          <c:extLst xmlns:c16r2="http://schemas.microsoft.com/office/drawing/2015/06/chart">
            <c:ext xmlns:c16="http://schemas.microsoft.com/office/drawing/2014/chart" uri="{C3380CC4-5D6E-409C-BE32-E72D297353CC}">
              <c16:uniqueId val="{00000001-CC43-4C4B-97FC-2BD061FA1DCE}"/>
            </c:ext>
          </c:extLst>
        </c:ser>
        <c:ser>
          <c:idx val="2"/>
          <c:order val="2"/>
          <c:tx>
            <c:strRef>
              <c:f>Sheet2!$C$26</c:f>
              <c:strCache>
                <c:ptCount val="1"/>
                <c:pt idx="0">
                  <c:v>Net Benefits</c:v>
                </c:pt>
              </c:strCache>
            </c:strRef>
          </c:tx>
          <c:spPr>
            <a:solidFill>
              <a:schemeClr val="accent3"/>
            </a:solidFill>
            <a:ln>
              <a:noFill/>
            </a:ln>
            <a:effectLst/>
          </c:spPr>
          <c:dPt>
            <c:idx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3-CC43-4C4B-97FC-2BD061FA1DCE}"/>
              </c:ext>
            </c:extLst>
          </c:dPt>
          <c:dPt>
            <c:idx val="1"/>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4-CC43-4C4B-97FC-2BD061FA1DCE}"/>
              </c:ext>
            </c:extLst>
          </c:dPt>
          <c:dPt>
            <c:idx val="2"/>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5-CC43-4C4B-97FC-2BD061FA1DC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wis721 BT" panose="020B0504020202020204" pitchFamily="34" charset="0"/>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Sheet2!$D$23:$F$23</c:f>
              <c:strCache>
                <c:ptCount val="3"/>
                <c:pt idx="0">
                  <c:v>Business as Usual</c:v>
                </c:pt>
                <c:pt idx="1">
                  <c:v>Strategic Portfolio</c:v>
                </c:pt>
                <c:pt idx="2">
                  <c:v>All Achievable Potential</c:v>
                </c:pt>
              </c:strCache>
            </c:strRef>
          </c:cat>
          <c:val>
            <c:numRef>
              <c:f>Sheet2!$D$26:$F$26</c:f>
              <c:numCache>
                <c:formatCode>"$"#,##0.0_);[Red]\("$"#,##0.0\)</c:formatCode>
                <c:ptCount val="3"/>
                <c:pt idx="0">
                  <c:v>80.850862214044184</c:v>
                </c:pt>
                <c:pt idx="1">
                  <c:v>105.56266788296351</c:v>
                </c:pt>
                <c:pt idx="2">
                  <c:v>137.376824</c:v>
                </c:pt>
              </c:numCache>
            </c:numRef>
          </c:val>
          <c:extLst xmlns:c16r2="http://schemas.microsoft.com/office/drawing/2015/06/chart">
            <c:ext xmlns:c16="http://schemas.microsoft.com/office/drawing/2014/chart" uri="{C3380CC4-5D6E-409C-BE32-E72D297353CC}">
              <c16:uniqueId val="{00000002-CC43-4C4B-97FC-2BD061FA1DCE}"/>
            </c:ext>
          </c:extLst>
        </c:ser>
        <c:gapWidth val="219"/>
        <c:overlap val="-27"/>
        <c:axId val="190932096"/>
        <c:axId val="190933632"/>
      </c:barChart>
      <c:catAx>
        <c:axId val="1909320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wis721 BT" panose="020B0504020202020204" pitchFamily="34" charset="0"/>
                <a:ea typeface="+mn-ea"/>
                <a:cs typeface="+mn-cs"/>
              </a:defRPr>
            </a:pPr>
            <a:endParaRPr lang="en-US"/>
          </a:p>
        </c:txPr>
        <c:crossAx val="190933632"/>
        <c:crosses val="autoZero"/>
        <c:auto val="1"/>
        <c:lblAlgn val="ctr"/>
        <c:lblOffset val="100"/>
      </c:catAx>
      <c:valAx>
        <c:axId val="19093363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Swis721 BT" panose="020B0504020202020204" pitchFamily="34" charset="0"/>
                    <a:ea typeface="+mn-ea"/>
                    <a:cs typeface="+mn-cs"/>
                  </a:defRPr>
                </a:pPr>
                <a:r>
                  <a:rPr lang="en-US" sz="900"/>
                  <a:t>Millions of Dollars</a:t>
                </a:r>
              </a:p>
            </c:rich>
          </c:tx>
          <c:spPr>
            <a:noFill/>
            <a:ln>
              <a:noFill/>
            </a:ln>
            <a:effectLst/>
          </c:spPr>
        </c:title>
        <c:numFmt formatCode="&quot;$&quot;#,##0_);[Red]\(&quot;$&quot;#,##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wis721 BT" panose="020B0504020202020204" pitchFamily="34" charset="0"/>
                <a:ea typeface="+mn-ea"/>
                <a:cs typeface="+mn-cs"/>
              </a:defRPr>
            </a:pPr>
            <a:endParaRPr lang="en-US"/>
          </a:p>
        </c:txPr>
        <c:crossAx val="19093209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wis721 BT" panose="020B0504020202020204" pitchFamily="34" charset="0"/>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Swis721 BT" panose="020B0504020202020204" pitchFamily="34"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0.12325714494021589"/>
          <c:y val="0.10203359551074608"/>
          <c:w val="0.87327063283756223"/>
          <c:h val="0.60736719254283111"/>
        </c:manualLayout>
      </c:layout>
      <c:barChart>
        <c:barDir val="col"/>
        <c:grouping val="percentStacked"/>
        <c:ser>
          <c:idx val="0"/>
          <c:order val="0"/>
          <c:tx>
            <c:strRef>
              <c:f>'Upper+Peninsula+Energy+Waste+Re'!$AO$38</c:f>
              <c:strCache>
                <c:ptCount val="1"/>
                <c:pt idx="0">
                  <c:v>Very familiar</c:v>
                </c:pt>
              </c:strCache>
            </c:strRef>
          </c:tx>
          <c:spPr>
            <a:solidFill>
              <a:schemeClr val="accent5">
                <a:lumMod val="50000"/>
              </a:schemeClr>
            </a:solidFill>
            <a:ln>
              <a:noFill/>
            </a:ln>
            <a:effectLst/>
          </c:spPr>
          <c:cat>
            <c:strRef>
              <c:f>'Upper+Peninsula+Energy+Waste+Re'!$AP$37:$AQ$37</c:f>
              <c:strCache>
                <c:ptCount val="2"/>
                <c:pt idx="0">
                  <c:v>Residential programs</c:v>
                </c:pt>
                <c:pt idx="1">
                  <c:v>Programs for business and industry</c:v>
                </c:pt>
              </c:strCache>
            </c:strRef>
          </c:cat>
          <c:val>
            <c:numRef>
              <c:f>'Upper+Peninsula+Energy+Waste+Re'!$AP$38:$AQ$38</c:f>
              <c:numCache>
                <c:formatCode>General</c:formatCode>
                <c:ptCount val="2"/>
                <c:pt idx="0">
                  <c:v>3</c:v>
                </c:pt>
                <c:pt idx="1">
                  <c:v>4</c:v>
                </c:pt>
              </c:numCache>
            </c:numRef>
          </c:val>
          <c:extLst xmlns:c16r2="http://schemas.microsoft.com/office/drawing/2015/06/chart">
            <c:ext xmlns:c16="http://schemas.microsoft.com/office/drawing/2014/chart" uri="{C3380CC4-5D6E-409C-BE32-E72D297353CC}">
              <c16:uniqueId val="{00000000-CDE6-470C-B729-A1853AC801CA}"/>
            </c:ext>
          </c:extLst>
        </c:ser>
        <c:ser>
          <c:idx val="1"/>
          <c:order val="1"/>
          <c:tx>
            <c:strRef>
              <c:f>'Upper+Peninsula+Energy+Waste+Re'!$AO$39</c:f>
              <c:strCache>
                <c:ptCount val="1"/>
                <c:pt idx="0">
                  <c:v>Somewhat familiar</c:v>
                </c:pt>
              </c:strCache>
            </c:strRef>
          </c:tx>
          <c:spPr>
            <a:solidFill>
              <a:schemeClr val="accent5">
                <a:lumMod val="75000"/>
              </a:schemeClr>
            </a:solidFill>
            <a:ln>
              <a:noFill/>
            </a:ln>
            <a:effectLst/>
          </c:spPr>
          <c:cat>
            <c:strRef>
              <c:f>'Upper+Peninsula+Energy+Waste+Re'!$AP$37:$AQ$37</c:f>
              <c:strCache>
                <c:ptCount val="2"/>
                <c:pt idx="0">
                  <c:v>Residential programs</c:v>
                </c:pt>
                <c:pt idx="1">
                  <c:v>Programs for business and industry</c:v>
                </c:pt>
              </c:strCache>
            </c:strRef>
          </c:cat>
          <c:val>
            <c:numRef>
              <c:f>'Upper+Peninsula+Energy+Waste+Re'!$AP$39:$AQ$39</c:f>
              <c:numCache>
                <c:formatCode>General</c:formatCode>
                <c:ptCount val="2"/>
                <c:pt idx="0">
                  <c:v>13</c:v>
                </c:pt>
                <c:pt idx="1">
                  <c:v>6</c:v>
                </c:pt>
              </c:numCache>
            </c:numRef>
          </c:val>
          <c:extLst xmlns:c16r2="http://schemas.microsoft.com/office/drawing/2015/06/chart">
            <c:ext xmlns:c16="http://schemas.microsoft.com/office/drawing/2014/chart" uri="{C3380CC4-5D6E-409C-BE32-E72D297353CC}">
              <c16:uniqueId val="{00000001-CDE6-470C-B729-A1853AC801CA}"/>
            </c:ext>
          </c:extLst>
        </c:ser>
        <c:ser>
          <c:idx val="2"/>
          <c:order val="2"/>
          <c:tx>
            <c:strRef>
              <c:f>'Upper+Peninsula+Energy+Waste+Re'!$AO$40</c:f>
              <c:strCache>
                <c:ptCount val="1"/>
                <c:pt idx="0">
                  <c:v>Not very familiar</c:v>
                </c:pt>
              </c:strCache>
            </c:strRef>
          </c:tx>
          <c:spPr>
            <a:solidFill>
              <a:schemeClr val="bg2">
                <a:lumMod val="75000"/>
              </a:schemeClr>
            </a:solidFill>
            <a:ln>
              <a:noFill/>
            </a:ln>
            <a:effectLst/>
          </c:spPr>
          <c:cat>
            <c:strRef>
              <c:f>'Upper+Peninsula+Energy+Waste+Re'!$AP$37:$AQ$37</c:f>
              <c:strCache>
                <c:ptCount val="2"/>
                <c:pt idx="0">
                  <c:v>Residential programs</c:v>
                </c:pt>
                <c:pt idx="1">
                  <c:v>Programs for business and industry</c:v>
                </c:pt>
              </c:strCache>
            </c:strRef>
          </c:cat>
          <c:val>
            <c:numRef>
              <c:f>'Upper+Peninsula+Energy+Waste+Re'!$AP$40:$AQ$40</c:f>
              <c:numCache>
                <c:formatCode>General</c:formatCode>
                <c:ptCount val="2"/>
                <c:pt idx="0">
                  <c:v>7</c:v>
                </c:pt>
                <c:pt idx="1">
                  <c:v>12</c:v>
                </c:pt>
              </c:numCache>
            </c:numRef>
          </c:val>
          <c:extLst xmlns:c16r2="http://schemas.microsoft.com/office/drawing/2015/06/chart">
            <c:ext xmlns:c16="http://schemas.microsoft.com/office/drawing/2014/chart" uri="{C3380CC4-5D6E-409C-BE32-E72D297353CC}">
              <c16:uniqueId val="{00000002-CDE6-470C-B729-A1853AC801CA}"/>
            </c:ext>
          </c:extLst>
        </c:ser>
        <c:ser>
          <c:idx val="3"/>
          <c:order val="3"/>
          <c:tx>
            <c:strRef>
              <c:f>'Upper+Peninsula+Energy+Waste+Re'!$AO$41</c:f>
              <c:strCache>
                <c:ptCount val="1"/>
                <c:pt idx="0">
                  <c:v>Not at all familiar</c:v>
                </c:pt>
              </c:strCache>
            </c:strRef>
          </c:tx>
          <c:spPr>
            <a:solidFill>
              <a:schemeClr val="tx1">
                <a:lumMod val="65000"/>
                <a:lumOff val="35000"/>
              </a:schemeClr>
            </a:solidFill>
            <a:ln>
              <a:noFill/>
            </a:ln>
            <a:effectLst/>
          </c:spPr>
          <c:cat>
            <c:strRef>
              <c:f>'Upper+Peninsula+Energy+Waste+Re'!$AP$37:$AQ$37</c:f>
              <c:strCache>
                <c:ptCount val="2"/>
                <c:pt idx="0">
                  <c:v>Residential programs</c:v>
                </c:pt>
                <c:pt idx="1">
                  <c:v>Programs for business and industry</c:v>
                </c:pt>
              </c:strCache>
            </c:strRef>
          </c:cat>
          <c:val>
            <c:numRef>
              <c:f>'Upper+Peninsula+Energy+Waste+Re'!$AP$41:$AQ$41</c:f>
              <c:numCache>
                <c:formatCode>General</c:formatCode>
                <c:ptCount val="2"/>
                <c:pt idx="0">
                  <c:v>1</c:v>
                </c:pt>
                <c:pt idx="1">
                  <c:v>4</c:v>
                </c:pt>
              </c:numCache>
            </c:numRef>
          </c:val>
          <c:extLst xmlns:c16r2="http://schemas.microsoft.com/office/drawing/2015/06/chart">
            <c:ext xmlns:c16="http://schemas.microsoft.com/office/drawing/2014/chart" uri="{C3380CC4-5D6E-409C-BE32-E72D297353CC}">
              <c16:uniqueId val="{00000003-CDE6-470C-B729-A1853AC801CA}"/>
            </c:ext>
          </c:extLst>
        </c:ser>
        <c:overlap val="100"/>
        <c:axId val="191000576"/>
        <c:axId val="191002112"/>
      </c:barChart>
      <c:catAx>
        <c:axId val="1910005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Swis721 BT" panose="020B0504020202020204" pitchFamily="34" charset="0"/>
                <a:ea typeface="+mn-ea"/>
                <a:cs typeface="+mn-cs"/>
              </a:defRPr>
            </a:pPr>
            <a:endParaRPr lang="en-US"/>
          </a:p>
        </c:txPr>
        <c:crossAx val="191002112"/>
        <c:crosses val="autoZero"/>
        <c:auto val="1"/>
        <c:lblAlgn val="ctr"/>
        <c:lblOffset val="100"/>
      </c:catAx>
      <c:valAx>
        <c:axId val="19100211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Swis721 BT" panose="020B0504020202020204" pitchFamily="34" charset="0"/>
                    <a:ea typeface="+mn-ea"/>
                    <a:cs typeface="+mn-cs"/>
                  </a:defRPr>
                </a:pPr>
                <a:r>
                  <a:rPr lang="en-US" sz="1050"/>
                  <a:t>Percent of respondents</a:t>
                </a:r>
              </a:p>
            </c:rich>
          </c:tx>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wis721 BT" panose="020B0504020202020204" pitchFamily="34" charset="0"/>
                <a:ea typeface="+mn-ea"/>
                <a:cs typeface="+mn-cs"/>
              </a:defRPr>
            </a:pPr>
            <a:endParaRPr lang="en-US"/>
          </a:p>
        </c:txPr>
        <c:crossAx val="19100057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Swis721 BT" panose="020B0504020202020204" pitchFamily="34" charset="0"/>
              <a:ea typeface="+mn-ea"/>
              <a:cs typeface="+mn-cs"/>
            </a:defRPr>
          </a:pPr>
          <a:endParaRPr lang="en-US"/>
        </a:p>
      </c:txPr>
    </c:legend>
    <c:plotVisOnly val="1"/>
    <c:dispBlanksAs val="gap"/>
  </c:chart>
  <c:spPr>
    <a:solidFill>
      <a:schemeClr val="bg1"/>
    </a:solidFill>
    <a:ln w="9525" cap="flat" cmpd="sng" algn="ctr">
      <a:noFill/>
      <a:round/>
    </a:ln>
    <a:effectLst/>
  </c:spPr>
  <c:txPr>
    <a:bodyPr/>
    <a:lstStyle/>
    <a:p>
      <a:pPr>
        <a:defRPr sz="1100">
          <a:latin typeface="Swis721 BT" panose="020B0504020202020204" pitchFamily="34" charset="0"/>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chart>
    <c:autoTitleDeleted val="1"/>
    <c:plotArea>
      <c:layout/>
      <c:pieChart>
        <c:varyColors val="1"/>
        <c:ser>
          <c:idx val="0"/>
          <c:order val="0"/>
          <c:dPt>
            <c:idx val="0"/>
            <c:spPr>
              <a:solidFill>
                <a:schemeClr val="accent5">
                  <a:lumMod val="5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6FB9-4EB8-8F9F-29C9D4C2AC1F}"/>
              </c:ext>
            </c:extLst>
          </c:dPt>
          <c:dPt>
            <c:idx val="1"/>
            <c:spPr>
              <a:solidFill>
                <a:schemeClr val="accent5">
                  <a:lumMod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6FB9-4EB8-8F9F-29C9D4C2AC1F}"/>
              </c:ext>
            </c:extLst>
          </c:dPt>
          <c:dPt>
            <c:idx val="2"/>
            <c:explosion val="1"/>
            <c:spPr>
              <a:solidFill>
                <a:schemeClr val="bg2">
                  <a:lumMod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6FB9-4EB8-8F9F-29C9D4C2AC1F}"/>
              </c:ext>
            </c:extLst>
          </c:dPt>
          <c:dPt>
            <c:idx val="3"/>
            <c:spPr>
              <a:solidFill>
                <a:schemeClr val="tx1">
                  <a:lumMod val="65000"/>
                  <a:lumOff val="3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6FB9-4EB8-8F9F-29C9D4C2AC1F}"/>
              </c:ext>
            </c:extLst>
          </c:dPt>
          <c:dLbls>
            <c:dLbl>
              <c:idx val="2"/>
              <c:layout>
                <c:manualLayout>
                  <c:x val="-4.3443788276465443E-4"/>
                  <c:y val="-0.1915539300696890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FB9-4EB8-8F9F-29C9D4C2AC1F}"/>
                </c:ext>
              </c:extLst>
            </c:dLbl>
            <c:dLbl>
              <c:idx val="3"/>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Swis721 BT" panose="020B0504020202020204" pitchFamily="34" charset="0"/>
                      <a:ea typeface="+mn-ea"/>
                      <a:cs typeface="+mn-cs"/>
                    </a:defRPr>
                  </a:pPr>
                  <a:endParaRPr lang="en-US"/>
                </a:p>
              </c:txPr>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Swis721 BT" panose="020B0504020202020204" pitchFamily="34" charset="0"/>
                    <a:ea typeface="+mn-ea"/>
                    <a:cs typeface="+mn-cs"/>
                  </a:defRPr>
                </a:pPr>
                <a:endParaRPr lang="en-US"/>
              </a:p>
            </c:txP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'Upper+Peninsula+Energy+Waste+Re'!$AO$38:$AO$41</c:f>
              <c:strCache>
                <c:ptCount val="4"/>
                <c:pt idx="0">
                  <c:v>Very familiar</c:v>
                </c:pt>
                <c:pt idx="1">
                  <c:v>Somewhat familiar</c:v>
                </c:pt>
                <c:pt idx="2">
                  <c:v>Not very familiar</c:v>
                </c:pt>
                <c:pt idx="3">
                  <c:v>Not at all familiar</c:v>
                </c:pt>
              </c:strCache>
            </c:strRef>
          </c:cat>
          <c:val>
            <c:numRef>
              <c:f>'Upper+Peninsula+Energy+Waste+Re'!$BB$38:$BB$41</c:f>
              <c:numCache>
                <c:formatCode>General</c:formatCode>
                <c:ptCount val="4"/>
                <c:pt idx="0">
                  <c:v>1</c:v>
                </c:pt>
                <c:pt idx="1">
                  <c:v>5</c:v>
                </c:pt>
                <c:pt idx="2">
                  <c:v>14</c:v>
                </c:pt>
                <c:pt idx="3">
                  <c:v>6</c:v>
                </c:pt>
              </c:numCache>
            </c:numRef>
          </c:val>
          <c:extLst xmlns:c16r2="http://schemas.microsoft.com/office/drawing/2015/06/chart">
            <c:ext xmlns:c16="http://schemas.microsoft.com/office/drawing/2014/chart" uri="{C3380CC4-5D6E-409C-BE32-E72D297353CC}">
              <c16:uniqueId val="{00000008-6FB9-4EB8-8F9F-29C9D4C2AC1F}"/>
            </c:ext>
          </c:extLst>
        </c:ser>
        <c:firstSliceAng val="0"/>
      </c:pieChart>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050">
          <a:latin typeface="Swis721 BT" panose="020B0504020202020204" pitchFamily="34" charset="0"/>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5.4756944444444476E-2"/>
          <c:y val="4.9358114505134068E-2"/>
          <c:w val="0.92672453703703705"/>
          <c:h val="0.6967233271681631"/>
        </c:manualLayout>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Swis721 BT" panose="020B0504020202020204" pitchFamily="34" charset="0"/>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'Barriers to Efficiency'!$C$8:$C$13</c:f>
              <c:strCache>
                <c:ptCount val="6"/>
                <c:pt idx="0">
                  <c:v>Lack of knowledge about best energy-efficiency options</c:v>
                </c:pt>
                <c:pt idx="1">
                  <c:v>Long payback</c:v>
                </c:pt>
                <c:pt idx="2">
                  <c:v>Higher cost of energy-efficiency technologies</c:v>
                </c:pt>
                <c:pt idx="3">
                  <c:v>Lack of data about technology performance</c:v>
                </c:pt>
                <c:pt idx="4">
                  <c:v>Energy-efficiency technologies not sold locally</c:v>
                </c:pt>
                <c:pt idx="5">
                  <c:v>Limited contractor availability</c:v>
                </c:pt>
              </c:strCache>
            </c:strRef>
          </c:cat>
          <c:val>
            <c:numRef>
              <c:f>'Barriers to Efficiency'!$D$8:$D$13</c:f>
              <c:numCache>
                <c:formatCode>0%</c:formatCode>
                <c:ptCount val="6"/>
                <c:pt idx="0">
                  <c:v>0.75000000000000022</c:v>
                </c:pt>
                <c:pt idx="1">
                  <c:v>0.43750000000000011</c:v>
                </c:pt>
                <c:pt idx="2">
                  <c:v>0.31250000000000011</c:v>
                </c:pt>
                <c:pt idx="3">
                  <c:v>0.21875000000000006</c:v>
                </c:pt>
                <c:pt idx="4">
                  <c:v>0.15625000000000006</c:v>
                </c:pt>
                <c:pt idx="5">
                  <c:v>0.125</c:v>
                </c:pt>
              </c:numCache>
            </c:numRef>
          </c:val>
          <c:extLst xmlns:c16r2="http://schemas.microsoft.com/office/drawing/2015/06/chart">
            <c:ext xmlns:c16="http://schemas.microsoft.com/office/drawing/2014/chart" uri="{C3380CC4-5D6E-409C-BE32-E72D297353CC}">
              <c16:uniqueId val="{00000000-43DA-4D7E-8168-C12F881F65A8}"/>
            </c:ext>
          </c:extLst>
        </c:ser>
        <c:gapWidth val="120"/>
        <c:overlap val="-27"/>
        <c:axId val="191062400"/>
        <c:axId val="191063936"/>
      </c:barChart>
      <c:catAx>
        <c:axId val="1910624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wis721 BT" panose="020B0504020202020204" pitchFamily="34" charset="0"/>
                <a:ea typeface="+mn-ea"/>
                <a:cs typeface="+mn-cs"/>
              </a:defRPr>
            </a:pPr>
            <a:endParaRPr lang="en-US"/>
          </a:p>
        </c:txPr>
        <c:crossAx val="191063936"/>
        <c:crosses val="autoZero"/>
        <c:auto val="1"/>
        <c:lblAlgn val="ctr"/>
        <c:lblOffset val="100"/>
      </c:catAx>
      <c:valAx>
        <c:axId val="19106393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Swis721 BT" panose="020B0504020202020204" pitchFamily="34" charset="0"/>
                <a:ea typeface="+mn-ea"/>
                <a:cs typeface="+mn-cs"/>
              </a:defRPr>
            </a:pPr>
            <a:endParaRPr lang="en-US"/>
          </a:p>
        </c:txPr>
        <c:crossAx val="19106240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000">
          <a:latin typeface="Swis721 BT" panose="020B0504020202020204" pitchFamily="34" charset="0"/>
        </a:defRPr>
      </a:pPr>
      <a:endParaRPr lang="en-US"/>
    </a:p>
  </c:txPr>
  <c:externalData r:id="rId1"/>
</c:chartSpace>
</file>

<file path=word/theme/theme1.xml><?xml version="1.0" encoding="utf-8"?>
<a:theme xmlns:a="http://schemas.openxmlformats.org/drawingml/2006/main" name="Office Theme">
  <a:themeElements>
    <a:clrScheme name="PSC">
      <a:dk1>
        <a:sysClr val="windowText" lastClr="000000"/>
      </a:dk1>
      <a:lt1>
        <a:sysClr val="window" lastClr="FFFFFF"/>
      </a:lt1>
      <a:dk2>
        <a:srgbClr val="44546A"/>
      </a:dk2>
      <a:lt2>
        <a:srgbClr val="E7E6E6"/>
      </a:lt2>
      <a:accent1>
        <a:srgbClr val="FFB602"/>
      </a:accent1>
      <a:accent2>
        <a:srgbClr val="655B58"/>
      </a:accent2>
      <a:accent3>
        <a:srgbClr val="757B83"/>
      </a:accent3>
      <a:accent4>
        <a:srgbClr val="8BD4EE"/>
      </a:accent4>
      <a:accent5>
        <a:srgbClr val="62BD67"/>
      </a:accent5>
      <a:accent6>
        <a:srgbClr val="ED6A56"/>
      </a:accent6>
      <a:hlink>
        <a:srgbClr val="2CBBEE"/>
      </a:hlink>
      <a:folHlink>
        <a:srgbClr val="2CBBEE"/>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CA213A-5FCB-4CF3-A037-E51095C56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 Report</Template>
  <TotalTime>2</TotalTime>
  <Pages>34</Pages>
  <Words>10007</Words>
  <Characters>57040</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Steiner</dc:creator>
  <cp:lastModifiedBy>LektzianT</cp:lastModifiedBy>
  <cp:revision>2</cp:revision>
  <dcterms:created xsi:type="dcterms:W3CDTF">2019-01-09T16:12:00Z</dcterms:created>
  <dcterms:modified xsi:type="dcterms:W3CDTF">2019-01-09T16:12:00Z</dcterms:modified>
</cp:coreProperties>
</file>